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A6C7B8" w14:textId="77777777" w:rsidR="007B004F" w:rsidRPr="00660798" w:rsidRDefault="007B004F" w:rsidP="007B004F">
      <w:pPr>
        <w:spacing w:after="120" w:line="276" w:lineRule="auto"/>
        <w:jc w:val="both"/>
        <w:rPr>
          <w:rFonts w:ascii="Arial" w:hAnsi="Arial" w:cs="Arial"/>
          <w:lang w:val="de-DE"/>
        </w:rPr>
      </w:pPr>
      <w:r w:rsidRPr="00660798">
        <w:rPr>
          <w:rFonts w:ascii="Arial" w:hAnsi="Arial" w:cs="Arial"/>
          <w:lang w:val="de-DE"/>
        </w:rPr>
        <w:t>Weltpremiere: CTX 450 4A</w:t>
      </w:r>
    </w:p>
    <w:p w14:paraId="7D48ADF0" w14:textId="77777777" w:rsidR="007B004F" w:rsidRDefault="007B004F" w:rsidP="007B004F">
      <w:pPr>
        <w:spacing w:before="240" w:after="120" w:line="276" w:lineRule="auto"/>
        <w:rPr>
          <w:rFonts w:ascii="Arial" w:hAnsi="Arial" w:cs="Arial"/>
          <w:b/>
          <w:bCs/>
          <w:color w:val="000000" w:themeColor="text1"/>
          <w:spacing w:val="2"/>
          <w:sz w:val="35"/>
          <w:szCs w:val="35"/>
          <w:lang w:val="de-DE"/>
          <w14:ligatures w14:val="none"/>
        </w:rPr>
      </w:pPr>
      <w:r w:rsidRPr="00660798">
        <w:rPr>
          <w:rFonts w:ascii="Arial" w:hAnsi="Arial" w:cs="Arial"/>
          <w:b/>
          <w:bCs/>
          <w:color w:val="000000" w:themeColor="text1"/>
          <w:spacing w:val="2"/>
          <w:sz w:val="35"/>
          <w:szCs w:val="35"/>
          <w:lang w:val="de-DE"/>
          <w14:ligatures w14:val="none"/>
        </w:rPr>
        <w:t>Universaldrehzentrum für die 6-seitige Komplettbearbeitung</w:t>
      </w:r>
    </w:p>
    <w:p w14:paraId="6845D70E" w14:textId="31DF3D8B" w:rsidR="007B004F" w:rsidRPr="00143B56" w:rsidRDefault="007B004F" w:rsidP="007B004F">
      <w:pPr>
        <w:spacing w:before="240" w:after="120" w:line="276" w:lineRule="auto"/>
        <w:jc w:val="both"/>
        <w:rPr>
          <w:rFonts w:ascii="Arial" w:eastAsia="Calibri" w:hAnsi="Arial" w:cs="Arial"/>
          <w:bCs/>
          <w:color w:val="000000" w:themeColor="text1"/>
          <w:lang w:val="de-DE"/>
        </w:rPr>
      </w:pPr>
      <w:r w:rsidRPr="00D6161F">
        <w:rPr>
          <w:rFonts w:ascii="Arial" w:eastAsia="Calibri" w:hAnsi="Arial" w:cs="Arial"/>
          <w:b/>
          <w:color w:val="000000" w:themeColor="text1"/>
          <w:lang w:val="de-DE"/>
        </w:rPr>
        <w:t xml:space="preserve">München. </w:t>
      </w:r>
      <w:r w:rsidRPr="0094138E">
        <w:rPr>
          <w:rFonts w:ascii="Arial" w:eastAsia="Calibri" w:hAnsi="Arial" w:cs="Arial"/>
          <w:bCs/>
          <w:color w:val="000000" w:themeColor="text1"/>
          <w:lang w:val="de-DE"/>
        </w:rPr>
        <w:t xml:space="preserve">Mit der neuen CTX 450 4A erweitert </w:t>
      </w:r>
      <w:r>
        <w:rPr>
          <w:rFonts w:ascii="Arial" w:eastAsia="Calibri" w:hAnsi="Arial" w:cs="Arial"/>
          <w:bCs/>
          <w:color w:val="000000" w:themeColor="text1"/>
          <w:lang w:val="de-DE"/>
        </w:rPr>
        <w:t>DMG MORI die jüngste Generation seiner Universaldrehzentren. Insgesamt</w:t>
      </w:r>
      <w:r w:rsidRPr="0094138E">
        <w:rPr>
          <w:rFonts w:ascii="Arial" w:eastAsia="Calibri" w:hAnsi="Arial" w:cs="Arial"/>
          <w:bCs/>
          <w:color w:val="000000" w:themeColor="text1"/>
          <w:lang w:val="de-DE"/>
        </w:rPr>
        <w:t xml:space="preserve"> bis zu 36 Werkzeugpositionen</w:t>
      </w:r>
      <w:r>
        <w:rPr>
          <w:rFonts w:ascii="Arial" w:eastAsia="Calibri" w:hAnsi="Arial" w:cs="Arial"/>
          <w:bCs/>
          <w:color w:val="000000" w:themeColor="text1"/>
          <w:lang w:val="de-DE"/>
        </w:rPr>
        <w:t xml:space="preserve"> auf zwei Werkzeugträgern, die einzeln oder gemeinsam an den beiden Spindeln arbeiten können,</w:t>
      </w:r>
      <w:r w:rsidRPr="0094138E">
        <w:rPr>
          <w:rFonts w:ascii="Arial" w:eastAsia="Calibri" w:hAnsi="Arial" w:cs="Arial"/>
          <w:bCs/>
          <w:color w:val="000000" w:themeColor="text1"/>
          <w:lang w:val="de-DE"/>
        </w:rPr>
        <w:t xml:space="preserve"> verleihen </w:t>
      </w:r>
      <w:r>
        <w:rPr>
          <w:rFonts w:ascii="Arial" w:eastAsia="Calibri" w:hAnsi="Arial" w:cs="Arial"/>
          <w:bCs/>
          <w:color w:val="000000" w:themeColor="text1"/>
          <w:lang w:val="de-DE"/>
        </w:rPr>
        <w:t xml:space="preserve">ihr maximale Flexibilität. Die hochsteife Maschinenkonstruktion, das ganzheitliche Kühlkonzept und Wegmesssysteme von </w:t>
      </w:r>
      <w:proofErr w:type="spellStart"/>
      <w:r>
        <w:rPr>
          <w:rFonts w:ascii="Arial" w:eastAsia="Calibri" w:hAnsi="Arial" w:cs="Arial"/>
          <w:bCs/>
          <w:color w:val="000000" w:themeColor="text1"/>
          <w:lang w:val="de-DE"/>
        </w:rPr>
        <w:t>Magnescale</w:t>
      </w:r>
      <w:proofErr w:type="spellEnd"/>
      <w:r>
        <w:rPr>
          <w:rFonts w:ascii="Arial" w:eastAsia="Calibri" w:hAnsi="Arial" w:cs="Arial"/>
          <w:bCs/>
          <w:color w:val="000000" w:themeColor="text1"/>
          <w:lang w:val="de-DE"/>
        </w:rPr>
        <w:t xml:space="preserve"> in den beiden X-Achsen, der Y-Achse und optional auch in der Z-Achse gewährleisten eine präzise Bearbeitung. Die Positioniergenauigkeit liegt bei </w:t>
      </w:r>
      <w:r w:rsidR="005F17E1">
        <w:rPr>
          <w:rFonts w:ascii="Arial" w:eastAsia="Calibri" w:hAnsi="Arial" w:cs="Arial"/>
          <w:bCs/>
          <w:color w:val="000000" w:themeColor="text1"/>
          <w:lang w:val="de-DE"/>
        </w:rPr>
        <w:br/>
      </w:r>
      <w:r w:rsidRPr="005F17E1">
        <w:rPr>
          <w:rFonts w:ascii="Arial" w:eastAsia="Calibri" w:hAnsi="Arial" w:cs="Arial"/>
          <w:bCs/>
          <w:color w:val="000000" w:themeColor="text1"/>
          <w:lang w:val="de-DE"/>
        </w:rPr>
        <w:t>6 µm</w:t>
      </w:r>
      <w:r>
        <w:rPr>
          <w:rFonts w:ascii="Arial" w:eastAsia="Calibri" w:hAnsi="Arial" w:cs="Arial"/>
          <w:bCs/>
          <w:color w:val="000000" w:themeColor="text1"/>
          <w:lang w:val="de-DE"/>
        </w:rPr>
        <w:t xml:space="preserve"> bzw. 12“, sodass auch kleine und mittelständische Unternehmen den Anforderungen anspruchsvoller Branchen gerecht werden.</w:t>
      </w:r>
    </w:p>
    <w:p w14:paraId="5A58327D" w14:textId="77777777" w:rsidR="007B004F" w:rsidRPr="00AE00A6" w:rsidRDefault="007B004F" w:rsidP="007B004F">
      <w:pPr>
        <w:spacing w:before="240" w:after="120" w:line="276" w:lineRule="auto"/>
        <w:jc w:val="both"/>
        <w:rPr>
          <w:rFonts w:ascii="Arial" w:eastAsia="Calibri" w:hAnsi="Arial" w:cs="Arial"/>
          <w:b/>
          <w:color w:val="000000" w:themeColor="text1"/>
          <w:lang w:val="de-DE"/>
        </w:rPr>
      </w:pPr>
      <w:r w:rsidRPr="00AE00A6">
        <w:rPr>
          <w:rFonts w:ascii="Arial" w:eastAsia="Calibri" w:hAnsi="Arial" w:cs="Arial"/>
          <w:b/>
          <w:color w:val="000000" w:themeColor="text1"/>
          <w:lang w:val="de-DE"/>
        </w:rPr>
        <w:t xml:space="preserve">Großer Arbeitsraum, </w:t>
      </w:r>
      <w:r>
        <w:rPr>
          <w:rFonts w:ascii="Arial" w:eastAsia="Calibri" w:hAnsi="Arial" w:cs="Arial"/>
          <w:b/>
          <w:color w:val="000000" w:themeColor="text1"/>
          <w:lang w:val="de-DE"/>
        </w:rPr>
        <w:t>vielseitiges</w:t>
      </w:r>
      <w:r w:rsidRPr="00AE00A6">
        <w:rPr>
          <w:rFonts w:ascii="Arial" w:eastAsia="Calibri" w:hAnsi="Arial" w:cs="Arial"/>
          <w:b/>
          <w:color w:val="000000" w:themeColor="text1"/>
          <w:lang w:val="de-DE"/>
        </w:rPr>
        <w:t xml:space="preserve"> Spindelsortiment und </w:t>
      </w:r>
      <w:r>
        <w:rPr>
          <w:rFonts w:ascii="Arial" w:eastAsia="Calibri" w:hAnsi="Arial" w:cs="Arial"/>
          <w:b/>
          <w:color w:val="000000" w:themeColor="text1"/>
          <w:lang w:val="de-DE"/>
        </w:rPr>
        <w:t>leistungsfähige Revolver</w:t>
      </w:r>
    </w:p>
    <w:p w14:paraId="0495CFAA" w14:textId="77777777" w:rsidR="007B004F" w:rsidRDefault="007B004F" w:rsidP="007B004F">
      <w:pPr>
        <w:spacing w:after="120" w:line="276" w:lineRule="auto"/>
        <w:jc w:val="both"/>
        <w:rPr>
          <w:rFonts w:ascii="Arial" w:eastAsia="Calibri" w:hAnsi="Arial" w:cs="Arial"/>
          <w:bCs/>
          <w:color w:val="000000" w:themeColor="text1"/>
          <w:lang w:val="de-DE"/>
        </w:rPr>
      </w:pPr>
      <w:r>
        <w:rPr>
          <w:rFonts w:ascii="Arial" w:eastAsia="Calibri" w:hAnsi="Arial" w:cs="Arial"/>
          <w:bCs/>
          <w:color w:val="000000" w:themeColor="text1"/>
          <w:lang w:val="de-DE"/>
        </w:rPr>
        <w:t>Auf lediglich 10,8 m² überzeugt die CTX 450 4A als vielseitiges Drehzentrum, das den Weg in die Fertigung der Zukunft ebnet</w:t>
      </w:r>
      <w:r w:rsidRPr="00143B56">
        <w:rPr>
          <w:rFonts w:ascii="Arial" w:eastAsia="Calibri" w:hAnsi="Arial" w:cs="Arial"/>
          <w:bCs/>
          <w:color w:val="000000" w:themeColor="text1"/>
          <w:lang w:val="de-DE"/>
        </w:rPr>
        <w:t>.</w:t>
      </w:r>
      <w:r>
        <w:rPr>
          <w:rFonts w:ascii="Arial" w:eastAsia="Calibri" w:hAnsi="Arial" w:cs="Arial"/>
          <w:bCs/>
          <w:color w:val="000000" w:themeColor="text1"/>
          <w:lang w:val="de-DE"/>
        </w:rPr>
        <w:t xml:space="preserve"> Die zwei Spindeln und die Vielzahl an Revolvern erlauben eine effiziente 6-Seiten-Komplettbearbeitung von Werkstücken mit bis zu ø 430 x 700 mm. Die Y-Achse verfährt um +/- 50 mm. Schon in der Standardausstattung garantieren die Spindeln kraftvolles und leistungsfähiges Drehen. </w:t>
      </w:r>
      <w:r w:rsidRPr="00EE5E04">
        <w:rPr>
          <w:rFonts w:ascii="Arial" w:eastAsia="Calibri" w:hAnsi="Arial" w:cs="Arial"/>
          <w:bCs/>
          <w:color w:val="000000" w:themeColor="text1"/>
          <w:lang w:val="de-DE"/>
        </w:rPr>
        <w:t>Links arbeitet eine ISM</w:t>
      </w:r>
      <w:r>
        <w:rPr>
          <w:rFonts w:ascii="Arial" w:eastAsia="Calibri" w:hAnsi="Arial" w:cs="Arial"/>
          <w:bCs/>
          <w:color w:val="000000" w:themeColor="text1"/>
          <w:lang w:val="de-DE"/>
        </w:rPr>
        <w:t> </w:t>
      </w:r>
      <w:r w:rsidRPr="00EE5E04">
        <w:rPr>
          <w:rFonts w:ascii="Arial" w:eastAsia="Calibri" w:hAnsi="Arial" w:cs="Arial"/>
          <w:bCs/>
          <w:color w:val="000000" w:themeColor="text1"/>
          <w:lang w:val="de-DE"/>
        </w:rPr>
        <w:t>80 mit 4.500</w:t>
      </w:r>
      <w:r>
        <w:rPr>
          <w:rFonts w:ascii="Arial" w:eastAsia="Calibri" w:hAnsi="Arial" w:cs="Arial"/>
          <w:bCs/>
          <w:color w:val="000000" w:themeColor="text1"/>
          <w:lang w:val="de-DE"/>
        </w:rPr>
        <w:t> </w:t>
      </w:r>
      <w:r w:rsidRPr="00EE5E04">
        <w:rPr>
          <w:rFonts w:ascii="Arial" w:eastAsia="Calibri" w:hAnsi="Arial" w:cs="Arial"/>
          <w:bCs/>
          <w:color w:val="000000" w:themeColor="text1"/>
          <w:lang w:val="de-DE"/>
        </w:rPr>
        <w:t>min</w:t>
      </w:r>
      <w:r w:rsidRPr="00EE5E04">
        <w:rPr>
          <w:rFonts w:ascii="Arial" w:eastAsia="Calibri" w:hAnsi="Arial" w:cs="Arial"/>
          <w:bCs/>
          <w:color w:val="000000" w:themeColor="text1"/>
          <w:vertAlign w:val="superscript"/>
          <w:lang w:val="de-DE"/>
        </w:rPr>
        <w:t>-1</w:t>
      </w:r>
      <w:r w:rsidRPr="00EE5E04">
        <w:rPr>
          <w:rFonts w:ascii="Arial" w:eastAsia="Calibri" w:hAnsi="Arial" w:cs="Arial"/>
          <w:bCs/>
          <w:color w:val="000000" w:themeColor="text1"/>
          <w:lang w:val="de-DE"/>
        </w:rPr>
        <w:t xml:space="preserve"> und 280</w:t>
      </w:r>
      <w:r>
        <w:rPr>
          <w:rFonts w:ascii="Arial" w:eastAsia="Calibri" w:hAnsi="Arial" w:cs="Arial"/>
          <w:bCs/>
          <w:color w:val="000000" w:themeColor="text1"/>
          <w:lang w:val="de-DE"/>
        </w:rPr>
        <w:t> </w:t>
      </w:r>
      <w:proofErr w:type="spellStart"/>
      <w:r w:rsidRPr="00EE5E04">
        <w:rPr>
          <w:rFonts w:ascii="Arial" w:eastAsia="Calibri" w:hAnsi="Arial" w:cs="Arial"/>
          <w:bCs/>
          <w:color w:val="000000" w:themeColor="text1"/>
          <w:lang w:val="de-DE"/>
        </w:rPr>
        <w:t>Nm</w:t>
      </w:r>
      <w:proofErr w:type="spellEnd"/>
      <w:r w:rsidRPr="00EE5E04">
        <w:rPr>
          <w:rFonts w:ascii="Arial" w:eastAsia="Calibri" w:hAnsi="Arial" w:cs="Arial"/>
          <w:bCs/>
          <w:color w:val="000000" w:themeColor="text1"/>
          <w:lang w:val="de-DE"/>
        </w:rPr>
        <w:t>, rechts e</w:t>
      </w:r>
      <w:r>
        <w:rPr>
          <w:rFonts w:ascii="Arial" w:eastAsia="Calibri" w:hAnsi="Arial" w:cs="Arial"/>
          <w:bCs/>
          <w:color w:val="000000" w:themeColor="text1"/>
          <w:lang w:val="de-DE"/>
        </w:rPr>
        <w:t>ine ISM 65 mit 5.500 min</w:t>
      </w:r>
      <w:r w:rsidRPr="00EE5E04">
        <w:rPr>
          <w:rFonts w:ascii="Arial" w:eastAsia="Calibri" w:hAnsi="Arial" w:cs="Arial"/>
          <w:bCs/>
          <w:color w:val="000000" w:themeColor="text1"/>
          <w:vertAlign w:val="superscript"/>
          <w:lang w:val="de-DE"/>
        </w:rPr>
        <w:t>-1</w:t>
      </w:r>
      <w:r>
        <w:rPr>
          <w:rFonts w:ascii="Arial" w:eastAsia="Calibri" w:hAnsi="Arial" w:cs="Arial"/>
          <w:bCs/>
          <w:color w:val="000000" w:themeColor="text1"/>
          <w:lang w:val="de-DE"/>
        </w:rPr>
        <w:t xml:space="preserve"> und 171 Nm. </w:t>
      </w:r>
      <w:r w:rsidRPr="00EE5E04">
        <w:rPr>
          <w:rFonts w:ascii="Arial" w:eastAsia="Calibri" w:hAnsi="Arial" w:cs="Arial"/>
          <w:bCs/>
          <w:color w:val="000000" w:themeColor="text1"/>
          <w:lang w:val="de-DE"/>
        </w:rPr>
        <w:t>Optional sind eine ISM</w:t>
      </w:r>
      <w:r>
        <w:rPr>
          <w:rFonts w:ascii="Arial" w:eastAsia="Calibri" w:hAnsi="Arial" w:cs="Arial"/>
          <w:bCs/>
          <w:color w:val="000000" w:themeColor="text1"/>
          <w:lang w:val="de-DE"/>
        </w:rPr>
        <w:t> </w:t>
      </w:r>
      <w:r w:rsidRPr="00EE5E04">
        <w:rPr>
          <w:rFonts w:ascii="Arial" w:eastAsia="Calibri" w:hAnsi="Arial" w:cs="Arial"/>
          <w:bCs/>
          <w:color w:val="000000" w:themeColor="text1"/>
          <w:lang w:val="de-DE"/>
        </w:rPr>
        <w:t>102 mit 3.500</w:t>
      </w:r>
      <w:r>
        <w:rPr>
          <w:rFonts w:ascii="Arial" w:eastAsia="Calibri" w:hAnsi="Arial" w:cs="Arial"/>
          <w:bCs/>
          <w:color w:val="000000" w:themeColor="text1"/>
          <w:lang w:val="de-DE"/>
        </w:rPr>
        <w:t> </w:t>
      </w:r>
      <w:r w:rsidRPr="00EE5E04">
        <w:rPr>
          <w:rFonts w:ascii="Arial" w:eastAsia="Calibri" w:hAnsi="Arial" w:cs="Arial"/>
          <w:bCs/>
          <w:color w:val="000000" w:themeColor="text1"/>
          <w:lang w:val="de-DE"/>
        </w:rPr>
        <w:t>min</w:t>
      </w:r>
      <w:r w:rsidRPr="00EE5E04">
        <w:rPr>
          <w:rFonts w:ascii="Arial" w:eastAsia="Calibri" w:hAnsi="Arial" w:cs="Arial"/>
          <w:bCs/>
          <w:color w:val="000000" w:themeColor="text1"/>
          <w:vertAlign w:val="superscript"/>
          <w:lang w:val="de-DE"/>
        </w:rPr>
        <w:t>-1</w:t>
      </w:r>
      <w:r w:rsidRPr="00EE5E04">
        <w:rPr>
          <w:rFonts w:ascii="Arial" w:eastAsia="Calibri" w:hAnsi="Arial" w:cs="Arial"/>
          <w:bCs/>
          <w:color w:val="000000" w:themeColor="text1"/>
          <w:lang w:val="de-DE"/>
        </w:rPr>
        <w:t xml:space="preserve"> und 620 </w:t>
      </w:r>
      <w:proofErr w:type="spellStart"/>
      <w:r w:rsidRPr="00EE5E04">
        <w:rPr>
          <w:rFonts w:ascii="Arial" w:eastAsia="Calibri" w:hAnsi="Arial" w:cs="Arial"/>
          <w:bCs/>
          <w:color w:val="000000" w:themeColor="text1"/>
          <w:lang w:val="de-DE"/>
        </w:rPr>
        <w:t>Nm</w:t>
      </w:r>
      <w:proofErr w:type="spellEnd"/>
      <w:r w:rsidRPr="00EE5E04">
        <w:rPr>
          <w:rFonts w:ascii="Arial" w:eastAsia="Calibri" w:hAnsi="Arial" w:cs="Arial"/>
          <w:bCs/>
          <w:color w:val="000000" w:themeColor="text1"/>
          <w:lang w:val="de-DE"/>
        </w:rPr>
        <w:t xml:space="preserve"> und e</w:t>
      </w:r>
      <w:r>
        <w:rPr>
          <w:rFonts w:ascii="Arial" w:eastAsia="Calibri" w:hAnsi="Arial" w:cs="Arial"/>
          <w:bCs/>
          <w:color w:val="000000" w:themeColor="text1"/>
          <w:lang w:val="de-DE"/>
        </w:rPr>
        <w:t>ine ISM 80 mit 4.500 min</w:t>
      </w:r>
      <w:r w:rsidRPr="00EE5E04">
        <w:rPr>
          <w:rFonts w:ascii="Arial" w:eastAsia="Calibri" w:hAnsi="Arial" w:cs="Arial"/>
          <w:bCs/>
          <w:color w:val="000000" w:themeColor="text1"/>
          <w:vertAlign w:val="superscript"/>
          <w:lang w:val="de-DE"/>
        </w:rPr>
        <w:t>-1</w:t>
      </w:r>
      <w:r>
        <w:rPr>
          <w:rFonts w:ascii="Arial" w:eastAsia="Calibri" w:hAnsi="Arial" w:cs="Arial"/>
          <w:bCs/>
          <w:color w:val="000000" w:themeColor="text1"/>
          <w:lang w:val="de-DE"/>
        </w:rPr>
        <w:t xml:space="preserve"> und 280 </w:t>
      </w:r>
      <w:proofErr w:type="spellStart"/>
      <w:r>
        <w:rPr>
          <w:rFonts w:ascii="Arial" w:eastAsia="Calibri" w:hAnsi="Arial" w:cs="Arial"/>
          <w:bCs/>
          <w:color w:val="000000" w:themeColor="text1"/>
          <w:lang w:val="de-DE"/>
        </w:rPr>
        <w:t>Nm</w:t>
      </w:r>
      <w:proofErr w:type="spellEnd"/>
      <w:r>
        <w:rPr>
          <w:rFonts w:ascii="Arial" w:eastAsia="Calibri" w:hAnsi="Arial" w:cs="Arial"/>
          <w:bCs/>
          <w:color w:val="000000" w:themeColor="text1"/>
          <w:lang w:val="de-DE"/>
        </w:rPr>
        <w:t xml:space="preserve"> verfügbar, was Anwendungen in der Schwerzerspanung unterstützt. Der Stangendurchlass von bis zu ø 102 mm ist der beste seiner Klasse. Leistung und Flexibilität setzen sich bei den Revolvern fort. Der obere bietet Platz für wahlweise 12 oder 16 VDI-40-Werkzeuge, unten sind 12 Stationen untergebracht. Beide fräsen oder bohren mit 12.000 min</w:t>
      </w:r>
      <w:r w:rsidRPr="00AE00A6">
        <w:rPr>
          <w:rFonts w:ascii="Arial" w:eastAsia="Calibri" w:hAnsi="Arial" w:cs="Arial"/>
          <w:bCs/>
          <w:color w:val="000000" w:themeColor="text1"/>
          <w:vertAlign w:val="superscript"/>
          <w:lang w:val="de-DE"/>
        </w:rPr>
        <w:t>-1</w:t>
      </w:r>
      <w:r>
        <w:rPr>
          <w:rFonts w:ascii="Arial" w:eastAsia="Calibri" w:hAnsi="Arial" w:cs="Arial"/>
          <w:bCs/>
          <w:color w:val="000000" w:themeColor="text1"/>
          <w:lang w:val="de-DE"/>
        </w:rPr>
        <w:t xml:space="preserve"> und 38 Nm. Optional kann DMG MORI die CTX 450 4A mit VDI-30 Revolvern ausrüsten – den oberen mit bis zu 20 Werkzeugstationen, den unteren mit 16 Werkzeugen.</w:t>
      </w:r>
    </w:p>
    <w:p w14:paraId="024C4F9B" w14:textId="77777777" w:rsidR="007B004F" w:rsidRPr="00703A9D" w:rsidRDefault="007B004F" w:rsidP="007B004F">
      <w:pPr>
        <w:spacing w:before="240" w:after="120" w:line="276" w:lineRule="auto"/>
        <w:jc w:val="both"/>
        <w:rPr>
          <w:rFonts w:ascii="Arial" w:eastAsia="Calibri" w:hAnsi="Arial" w:cs="Arial"/>
          <w:b/>
          <w:color w:val="000000" w:themeColor="text1"/>
          <w:lang w:val="de-DE"/>
        </w:rPr>
      </w:pPr>
      <w:r>
        <w:rPr>
          <w:rFonts w:ascii="Arial" w:eastAsia="Calibri" w:hAnsi="Arial" w:cs="Arial"/>
          <w:b/>
          <w:color w:val="000000" w:themeColor="text1"/>
          <w:lang w:val="de-DE"/>
        </w:rPr>
        <w:t>Produktiver fertigen durch Automation und Digitalisierung</w:t>
      </w:r>
    </w:p>
    <w:p w14:paraId="44968C2E" w14:textId="76FF84E6" w:rsidR="007B004F" w:rsidRDefault="007B004F" w:rsidP="6E887ED0">
      <w:pPr>
        <w:spacing w:after="120" w:line="276" w:lineRule="auto"/>
        <w:jc w:val="both"/>
        <w:rPr>
          <w:rFonts w:ascii="Arial" w:eastAsia="Calibri" w:hAnsi="Arial" w:cs="Arial"/>
          <w:color w:val="000000" w:themeColor="text1"/>
          <w:lang w:val="de-DE"/>
        </w:rPr>
      </w:pPr>
      <w:r w:rsidRPr="6E887ED0">
        <w:rPr>
          <w:rFonts w:ascii="Arial" w:eastAsia="Calibri" w:hAnsi="Arial" w:cs="Arial"/>
          <w:color w:val="000000" w:themeColor="text1"/>
          <w:lang w:val="de-DE"/>
        </w:rPr>
        <w:t xml:space="preserve">Die effiziente Komplettbearbeitung auf der CTX 450 4A kombiniert DMG MORI mit individuellen Automationslösungen. So ist ab Werk eine Entladeeinrichtung integriert, die Werkstücke bis ø 100 x 350 mm und 4 kg entnimmt. Darüber hinaus lässt sich das Werkstückhandling mit Hilfe des Robo2Go Turning weiter ausbauen. Die automatisierte Fertigung trägt entscheidend dazu bei, die Maschine optimal auszulasten und die Gesamtproduktivität der Fertigung zu erhöhen. Gleichzeitig sorgen die perfekte Konnektivität der Maschine sowie die App-basierte Steuerungsplattform </w:t>
      </w:r>
      <w:r w:rsidRPr="000C4B50">
        <w:rPr>
          <w:rFonts w:ascii="Arial" w:eastAsia="Calibri" w:hAnsi="Arial" w:cs="Arial"/>
          <w:color w:val="000000" w:themeColor="text1"/>
          <w:lang w:val="de-DE"/>
        </w:rPr>
        <w:t xml:space="preserve">CELOS X – wahlweise auf einer Siemens SINUMERIK ONE oder MAPPS mit FANUC – für einen schnellen Einstieg in die </w:t>
      </w:r>
      <w:r w:rsidR="00742FA4">
        <w:rPr>
          <w:rFonts w:ascii="Arial" w:eastAsia="Calibri" w:hAnsi="Arial" w:cs="Arial"/>
          <w:color w:val="000000" w:themeColor="text1"/>
          <w:lang w:val="de-DE"/>
        </w:rPr>
        <w:br/>
      </w:r>
      <w:r w:rsidR="00742FA4">
        <w:rPr>
          <w:rFonts w:ascii="Arial" w:eastAsia="Calibri" w:hAnsi="Arial" w:cs="Arial"/>
          <w:color w:val="000000" w:themeColor="text1"/>
          <w:lang w:val="de-DE"/>
        </w:rPr>
        <w:br/>
      </w:r>
      <w:r w:rsidR="00742FA4">
        <w:rPr>
          <w:rFonts w:ascii="Arial" w:eastAsia="Calibri" w:hAnsi="Arial" w:cs="Arial"/>
          <w:color w:val="000000" w:themeColor="text1"/>
          <w:lang w:val="de-DE"/>
        </w:rPr>
        <w:br/>
      </w:r>
      <w:r w:rsidRPr="000C4B50">
        <w:rPr>
          <w:rFonts w:ascii="Arial" w:eastAsia="Calibri" w:hAnsi="Arial" w:cs="Arial"/>
          <w:color w:val="000000" w:themeColor="text1"/>
          <w:lang w:val="de-DE"/>
        </w:rPr>
        <w:lastRenderedPageBreak/>
        <w:t>Digitalisierung ganzer Fertigungsprozesse. DMG MORI Technologiezyklen wie der Werkzeug-</w:t>
      </w:r>
      <w:r w:rsidRPr="6E887ED0">
        <w:rPr>
          <w:rFonts w:ascii="Arial" w:eastAsia="Calibri" w:hAnsi="Arial" w:cs="Arial"/>
          <w:color w:val="000000" w:themeColor="text1"/>
          <w:lang w:val="de-DE"/>
        </w:rPr>
        <w:t>Auswuchtassistent und Multi Threading Pro reduzieren beispielsweise den Aufwand in der Programmierung.</w:t>
      </w:r>
    </w:p>
    <w:p w14:paraId="5E8C9442" w14:textId="135836B2" w:rsidR="007B004F" w:rsidRPr="00703A9D" w:rsidRDefault="007B004F" w:rsidP="007B004F">
      <w:pPr>
        <w:spacing w:before="240" w:after="120" w:line="276" w:lineRule="auto"/>
        <w:jc w:val="both"/>
        <w:rPr>
          <w:rFonts w:ascii="Arial" w:eastAsia="Calibri" w:hAnsi="Arial" w:cs="Arial"/>
          <w:b/>
          <w:color w:val="000000" w:themeColor="text1"/>
          <w:lang w:val="de-DE"/>
        </w:rPr>
      </w:pPr>
      <w:r>
        <w:rPr>
          <w:rFonts w:ascii="Arial" w:eastAsia="Calibri" w:hAnsi="Arial" w:cs="Arial"/>
          <w:b/>
          <w:color w:val="000000" w:themeColor="text1"/>
          <w:lang w:val="de-DE"/>
        </w:rPr>
        <w:t xml:space="preserve">Nachhaltigkeit als </w:t>
      </w:r>
      <w:r w:rsidR="00452AA1">
        <w:rPr>
          <w:rFonts w:ascii="Arial" w:eastAsia="Calibri" w:hAnsi="Arial" w:cs="Arial"/>
          <w:b/>
          <w:color w:val="000000" w:themeColor="text1"/>
          <w:lang w:val="de-DE"/>
        </w:rPr>
        <w:t>Wettbewerbsvorteil</w:t>
      </w:r>
    </w:p>
    <w:p w14:paraId="2B796293" w14:textId="3994A36A" w:rsidR="00BE4469" w:rsidRPr="00BE4469" w:rsidRDefault="00BE4469" w:rsidP="00BE4469">
      <w:pPr>
        <w:spacing w:after="120" w:line="276" w:lineRule="auto"/>
        <w:jc w:val="both"/>
        <w:rPr>
          <w:rFonts w:ascii="Arial" w:eastAsia="Calibri" w:hAnsi="Arial" w:cs="Arial"/>
          <w:color w:val="000000" w:themeColor="text1"/>
          <w:lang w:val="de-DE"/>
        </w:rPr>
      </w:pPr>
      <w:r w:rsidRPr="00BE4469">
        <w:rPr>
          <w:rFonts w:ascii="Arial" w:eastAsia="Calibri" w:hAnsi="Arial" w:cs="Arial"/>
          <w:color w:val="000000" w:themeColor="text1"/>
          <w:lang w:val="de-DE"/>
        </w:rPr>
        <w:t xml:space="preserve">Eine nachhaltige Fertigung bietet sowohl aus ökologischen als auch wirtschaftlichen Gründen enorme Vorteile im Wettbewerb. Mit verschiedenen Maßnahmen – zusammengefasst unter GREENMODE – steigert DMG MORI gezielt die Ressourceneffizienz und Produktivität seiner Maschinen. Dank innovativer Hardwarekomponenten und Software lässt sich der Energieverbrauch je nach Maschine um mehr als 30 % senken, zum Beispiel mit reibungsarmem Linearführungen, hocheffizienten Kühlern, der bedarfsgerechten Zufuhr von Kühlschmierstoffen mit „Adaptive </w:t>
      </w:r>
      <w:proofErr w:type="spellStart"/>
      <w:r w:rsidRPr="00BE4469">
        <w:rPr>
          <w:rFonts w:ascii="Arial" w:eastAsia="Calibri" w:hAnsi="Arial" w:cs="Arial"/>
          <w:color w:val="000000" w:themeColor="text1"/>
          <w:lang w:val="de-DE"/>
        </w:rPr>
        <w:t>Coolant</w:t>
      </w:r>
      <w:proofErr w:type="spellEnd"/>
      <w:r w:rsidRPr="00BE4469">
        <w:rPr>
          <w:rFonts w:ascii="Arial" w:eastAsia="Calibri" w:hAnsi="Arial" w:cs="Arial"/>
          <w:color w:val="000000" w:themeColor="text1"/>
          <w:lang w:val="de-DE"/>
        </w:rPr>
        <w:t xml:space="preserve"> Flow“ oder der automatischen </w:t>
      </w:r>
      <w:proofErr w:type="spellStart"/>
      <w:r w:rsidRPr="00BE4469">
        <w:rPr>
          <w:rFonts w:ascii="Arial" w:eastAsia="Calibri" w:hAnsi="Arial" w:cs="Arial"/>
          <w:color w:val="000000" w:themeColor="text1"/>
          <w:lang w:val="de-DE"/>
        </w:rPr>
        <w:t>Luftleckageüberwachung</w:t>
      </w:r>
      <w:proofErr w:type="spellEnd"/>
      <w:r w:rsidRPr="00BE4469">
        <w:rPr>
          <w:rFonts w:ascii="Arial" w:eastAsia="Calibri" w:hAnsi="Arial" w:cs="Arial"/>
          <w:color w:val="000000" w:themeColor="text1"/>
          <w:lang w:val="de-DE"/>
        </w:rPr>
        <w:t xml:space="preserve"> „Air Leakage Monitoring“.</w:t>
      </w:r>
    </w:p>
    <w:p w14:paraId="66A0E9A2" w14:textId="77777777" w:rsidR="00BE4469" w:rsidRDefault="00BE4469" w:rsidP="6E887ED0">
      <w:pPr>
        <w:spacing w:after="120" w:line="276" w:lineRule="auto"/>
        <w:jc w:val="both"/>
        <w:rPr>
          <w:rFonts w:ascii="Arial" w:eastAsia="Calibri" w:hAnsi="Arial" w:cs="Arial"/>
          <w:color w:val="000000" w:themeColor="text1"/>
          <w:lang w:val="de-DE"/>
        </w:rPr>
      </w:pPr>
    </w:p>
    <w:p w14:paraId="44DEB810" w14:textId="77777777" w:rsidR="007B004F" w:rsidRDefault="007B004F" w:rsidP="007B004F">
      <w:pPr>
        <w:spacing w:after="120" w:line="276" w:lineRule="auto"/>
        <w:jc w:val="both"/>
        <w:rPr>
          <w:rFonts w:ascii="Arial" w:eastAsia="Calibri" w:hAnsi="Arial" w:cs="Arial"/>
          <w:bCs/>
          <w:color w:val="000000" w:themeColor="text1"/>
          <w:lang w:val="de-DE"/>
        </w:rPr>
      </w:pPr>
    </w:p>
    <w:p w14:paraId="2F4813C2" w14:textId="77777777" w:rsidR="007B004F" w:rsidRDefault="007B004F" w:rsidP="007B004F">
      <w:pPr>
        <w:spacing w:after="120" w:line="276" w:lineRule="auto"/>
        <w:jc w:val="both"/>
        <w:rPr>
          <w:rFonts w:ascii="Arial" w:eastAsia="Calibri" w:hAnsi="Arial" w:cs="Arial"/>
          <w:bCs/>
          <w:color w:val="000000" w:themeColor="text1"/>
          <w:lang w:val="de-DE"/>
        </w:rPr>
      </w:pPr>
    </w:p>
    <w:p w14:paraId="7B2ABA10" w14:textId="77777777" w:rsidR="007B004F" w:rsidRDefault="007B004F" w:rsidP="007B004F">
      <w:pPr>
        <w:autoSpaceDE w:val="0"/>
        <w:autoSpaceDN w:val="0"/>
        <w:adjustRightInd w:val="0"/>
        <w:spacing w:after="40" w:line="269" w:lineRule="auto"/>
        <w:ind w:right="-7"/>
        <w:jc w:val="both"/>
        <w:rPr>
          <w:rFonts w:ascii="Arial" w:eastAsia="MS Mincho" w:hAnsi="Arial" w:cs="Arial"/>
          <w:b/>
          <w:color w:val="000000" w:themeColor="text1"/>
          <w:sz w:val="16"/>
          <w:szCs w:val="18"/>
        </w:rPr>
      </w:pPr>
      <w:r w:rsidRPr="00552F64">
        <w:rPr>
          <w:rFonts w:ascii="Arial" w:eastAsia="MS Mincho" w:hAnsi="Arial" w:cs="Arial"/>
          <w:b/>
          <w:noProof/>
          <w:color w:val="000000" w:themeColor="text1"/>
          <w:sz w:val="16"/>
          <w:szCs w:val="18"/>
        </w:rPr>
        <w:drawing>
          <wp:inline distT="0" distB="0" distL="0" distR="0" wp14:anchorId="3DED4FBA" wp14:editId="54185E79">
            <wp:extent cx="4841271" cy="3432969"/>
            <wp:effectExtent l="0" t="0" r="0" b="0"/>
            <wp:docPr id="627013894" name="Grafik 1" descr="Ein Bild, das Maschine, Design, Ausstellung, Schwarz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013894" name="Grafik 1" descr="Ein Bild, das Maschine, Design, Ausstellung, Schwarzweiß enthält.&#10;&#10;KI-generierte Inhalte können fehlerhaft sein."/>
                    <pic:cNvPicPr/>
                  </pic:nvPicPr>
                  <pic:blipFill>
                    <a:blip r:embed="rId10"/>
                    <a:stretch>
                      <a:fillRect/>
                    </a:stretch>
                  </pic:blipFill>
                  <pic:spPr>
                    <a:xfrm>
                      <a:off x="0" y="0"/>
                      <a:ext cx="4854267" cy="3442184"/>
                    </a:xfrm>
                    <a:prstGeom prst="rect">
                      <a:avLst/>
                    </a:prstGeom>
                  </pic:spPr>
                </pic:pic>
              </a:graphicData>
            </a:graphic>
          </wp:inline>
        </w:drawing>
      </w:r>
    </w:p>
    <w:p w14:paraId="3130E7AF" w14:textId="77777777" w:rsidR="007B004F" w:rsidRDefault="007B004F" w:rsidP="007B004F">
      <w:pPr>
        <w:autoSpaceDE w:val="0"/>
        <w:autoSpaceDN w:val="0"/>
        <w:adjustRightInd w:val="0"/>
        <w:spacing w:after="40" w:line="269" w:lineRule="auto"/>
        <w:ind w:right="1835"/>
        <w:rPr>
          <w:rFonts w:ascii="Arial" w:eastAsia="MS Mincho" w:hAnsi="Arial" w:cs="Arial"/>
          <w:color w:val="000000" w:themeColor="text1"/>
          <w:sz w:val="16"/>
          <w:szCs w:val="18"/>
          <w:lang w:val="de-DE"/>
        </w:rPr>
      </w:pPr>
      <w:r w:rsidRPr="00C274BC">
        <w:rPr>
          <w:rFonts w:ascii="Arial" w:eastAsia="MS Mincho" w:hAnsi="Arial" w:cs="Arial"/>
          <w:bCs/>
          <w:color w:val="000000" w:themeColor="text1"/>
          <w:sz w:val="16"/>
          <w:szCs w:val="18"/>
          <w:lang w:val="de-DE"/>
        </w:rPr>
        <w:t>Flexibilität</w:t>
      </w:r>
      <w:r>
        <w:rPr>
          <w:rFonts w:ascii="Arial" w:eastAsia="MS Mincho" w:hAnsi="Arial" w:cs="Arial"/>
          <w:color w:val="000000" w:themeColor="text1"/>
          <w:sz w:val="16"/>
          <w:szCs w:val="18"/>
          <w:lang w:val="de-DE"/>
        </w:rPr>
        <w:t>, Stabilität und Leistung – die CTX 450 4A bietet Platz für ein großes Bauteilspektrum und ermöglicht eine wirtschaftliche sowie zukunftsorientierte Fertigung.</w:t>
      </w:r>
    </w:p>
    <w:p w14:paraId="3C34DF65" w14:textId="77777777" w:rsidR="007B004F" w:rsidRDefault="007B004F" w:rsidP="007B004F">
      <w:pPr>
        <w:autoSpaceDE w:val="0"/>
        <w:autoSpaceDN w:val="0"/>
        <w:adjustRightInd w:val="0"/>
        <w:spacing w:after="40" w:line="269" w:lineRule="auto"/>
        <w:ind w:right="1835"/>
        <w:rPr>
          <w:rFonts w:ascii="Arial" w:eastAsia="MS Mincho" w:hAnsi="Arial" w:cs="Arial"/>
          <w:color w:val="000000" w:themeColor="text1"/>
          <w:sz w:val="16"/>
          <w:szCs w:val="18"/>
          <w:lang w:val="de-DE"/>
        </w:rPr>
      </w:pPr>
    </w:p>
    <w:p w14:paraId="536AEFB8" w14:textId="77777777" w:rsidR="007B004F" w:rsidRDefault="007B004F" w:rsidP="007B004F">
      <w:pPr>
        <w:autoSpaceDE w:val="0"/>
        <w:autoSpaceDN w:val="0"/>
        <w:adjustRightInd w:val="0"/>
        <w:spacing w:after="40" w:line="269" w:lineRule="auto"/>
        <w:ind w:right="1835"/>
        <w:rPr>
          <w:rFonts w:ascii="Arial" w:eastAsia="MS Mincho" w:hAnsi="Arial" w:cs="Arial"/>
          <w:color w:val="000000" w:themeColor="text1"/>
          <w:sz w:val="16"/>
          <w:szCs w:val="18"/>
          <w:lang w:val="de-DE"/>
        </w:rPr>
      </w:pPr>
      <w:r w:rsidRPr="00585EC5">
        <w:rPr>
          <w:rFonts w:ascii="Arial" w:eastAsia="MS Mincho" w:hAnsi="Arial" w:cs="Arial"/>
          <w:noProof/>
          <w:color w:val="000000" w:themeColor="text1"/>
          <w:sz w:val="16"/>
          <w:szCs w:val="18"/>
          <w:lang w:val="de-DE"/>
        </w:rPr>
        <w:lastRenderedPageBreak/>
        <w:drawing>
          <wp:inline distT="0" distB="0" distL="0" distR="0" wp14:anchorId="45ED21DF" wp14:editId="353940A7">
            <wp:extent cx="4830051" cy="3046272"/>
            <wp:effectExtent l="0" t="0" r="8890" b="1905"/>
            <wp:docPr id="1908281146" name="Grafik 1" descr="Ein Bild, das Maschine, Werkzeugmaschine, Drehban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281146" name="Grafik 1" descr="Ein Bild, das Maschine, Werkzeugmaschine, Drehbank, Im Haus enthält.&#10;&#10;KI-generierte Inhalte können fehlerhaft sein."/>
                    <pic:cNvPicPr/>
                  </pic:nvPicPr>
                  <pic:blipFill>
                    <a:blip r:embed="rId11"/>
                    <a:stretch>
                      <a:fillRect/>
                    </a:stretch>
                  </pic:blipFill>
                  <pic:spPr>
                    <a:xfrm>
                      <a:off x="0" y="0"/>
                      <a:ext cx="4844637" cy="3055472"/>
                    </a:xfrm>
                    <a:prstGeom prst="rect">
                      <a:avLst/>
                    </a:prstGeom>
                  </pic:spPr>
                </pic:pic>
              </a:graphicData>
            </a:graphic>
          </wp:inline>
        </w:drawing>
      </w:r>
    </w:p>
    <w:p w14:paraId="487B515E" w14:textId="77777777" w:rsidR="007B004F" w:rsidRPr="003A6B65" w:rsidRDefault="007B004F" w:rsidP="007B004F">
      <w:pPr>
        <w:autoSpaceDE w:val="0"/>
        <w:autoSpaceDN w:val="0"/>
        <w:adjustRightInd w:val="0"/>
        <w:spacing w:after="40" w:line="269" w:lineRule="auto"/>
        <w:ind w:right="1417"/>
        <w:jc w:val="both"/>
        <w:rPr>
          <w:rFonts w:ascii="Arial" w:eastAsia="MS Mincho" w:hAnsi="Arial" w:cs="Arial"/>
          <w:b/>
          <w:color w:val="000000" w:themeColor="text1"/>
          <w:sz w:val="16"/>
          <w:szCs w:val="18"/>
          <w:lang w:val="de-DE"/>
        </w:rPr>
      </w:pPr>
      <w:r w:rsidRPr="003A6B65">
        <w:rPr>
          <w:rFonts w:ascii="Arial" w:eastAsia="MS Mincho" w:hAnsi="Arial" w:cs="Arial"/>
          <w:color w:val="000000" w:themeColor="text1"/>
          <w:sz w:val="16"/>
          <w:szCs w:val="18"/>
          <w:lang w:val="de-DE"/>
        </w:rPr>
        <w:t>Die zwei Spindeln und die Vielzahl an Revolvern erlauben eine effiziente 6-Seiten-Komplettbearbeitung von Werkstücken mit bis zu ø 430 x 700 mm.</w:t>
      </w:r>
    </w:p>
    <w:p w14:paraId="3B01CF50" w14:textId="4F7B0734" w:rsidR="00696CDF" w:rsidRDefault="00696CDF" w:rsidP="00696CDF">
      <w:pPr>
        <w:spacing w:after="120" w:line="276" w:lineRule="auto"/>
        <w:jc w:val="both"/>
        <w:rPr>
          <w:rFonts w:ascii="Arial" w:eastAsia="MS Mincho" w:hAnsi="Arial" w:cs="Arial"/>
          <w:b/>
          <w:color w:val="000000" w:themeColor="text1"/>
          <w:sz w:val="16"/>
          <w:szCs w:val="18"/>
          <w:lang w:val="de-DE"/>
        </w:rPr>
      </w:pPr>
    </w:p>
    <w:p w14:paraId="6E850C00" w14:textId="77777777" w:rsidR="00696CDF" w:rsidRDefault="00696CDF" w:rsidP="00696CDF">
      <w:pPr>
        <w:spacing w:after="120" w:line="276" w:lineRule="auto"/>
        <w:jc w:val="both"/>
        <w:rPr>
          <w:rFonts w:ascii="Arial" w:eastAsia="MS Mincho" w:hAnsi="Arial" w:cs="Arial"/>
          <w:b/>
          <w:color w:val="000000" w:themeColor="text1"/>
          <w:sz w:val="16"/>
          <w:szCs w:val="18"/>
          <w:lang w:val="de-DE"/>
        </w:rPr>
      </w:pPr>
    </w:p>
    <w:p w14:paraId="01EED7E0" w14:textId="0EA715F3" w:rsidR="001906A8" w:rsidRPr="001906A8" w:rsidRDefault="00CF38E9" w:rsidP="00696CDF">
      <w:pPr>
        <w:spacing w:after="120" w:line="276" w:lineRule="auto"/>
        <w:jc w:val="both"/>
        <w:rPr>
          <w:rFonts w:ascii="Arial" w:eastAsia="MS Mincho" w:hAnsi="Arial" w:cs="Arial"/>
          <w:b/>
          <w:sz w:val="16"/>
          <w:szCs w:val="18"/>
          <w:lang w:val="de-DE"/>
        </w:rPr>
      </w:pPr>
      <w:r>
        <w:rPr>
          <w:rFonts w:ascii="Arial" w:eastAsia="MS Mincho" w:hAnsi="Arial" w:cs="Arial"/>
          <w:b/>
          <w:sz w:val="16"/>
          <w:szCs w:val="18"/>
          <w:lang w:val="de-DE"/>
        </w:rPr>
        <w:t>C</w:t>
      </w:r>
      <w:r w:rsidR="001906A8" w:rsidRPr="001906A8">
        <w:rPr>
          <w:rFonts w:ascii="Arial" w:eastAsia="MS Mincho" w:hAnsi="Arial" w:cs="Arial"/>
          <w:b/>
          <w:sz w:val="16"/>
          <w:szCs w:val="18"/>
          <w:lang w:val="de-DE"/>
        </w:rPr>
        <w:t xml:space="preserve">ompany Profile // DMG MORI </w:t>
      </w:r>
    </w:p>
    <w:p w14:paraId="42DC5AE8" w14:textId="724F621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ist ein weltweit führender Hersteller von hochpräzisen Werkzeugmaschinen und in 4</w:t>
      </w:r>
      <w:r w:rsidR="00F57280">
        <w:rPr>
          <w:rFonts w:ascii="Arial" w:eastAsia="MS Mincho" w:hAnsi="Arial" w:cs="Arial"/>
          <w:bCs/>
          <w:noProof/>
          <w:sz w:val="16"/>
          <w:szCs w:val="18"/>
          <w:lang w:val="de-DE" w:eastAsia="de-DE"/>
        </w:rPr>
        <w:t>4</w:t>
      </w:r>
      <w:r w:rsidRPr="001906A8">
        <w:rPr>
          <w:rFonts w:ascii="Arial" w:eastAsia="MS Mincho" w:hAnsi="Arial" w:cs="Arial"/>
          <w:bCs/>
          <w:noProof/>
          <w:sz w:val="16"/>
          <w:szCs w:val="18"/>
          <w:lang w:val="de-DE" w:eastAsia="de-DE"/>
        </w:rPr>
        <w:t xml:space="preserve"> Ländern vertreten – mit </w:t>
      </w:r>
      <w:r w:rsidR="00F57280">
        <w:rPr>
          <w:rFonts w:ascii="Arial" w:eastAsia="MS Mincho" w:hAnsi="Arial" w:cs="Arial"/>
          <w:bCs/>
          <w:noProof/>
          <w:sz w:val="16"/>
          <w:szCs w:val="18"/>
          <w:lang w:val="de-DE" w:eastAsia="de-DE"/>
        </w:rPr>
        <w:t>124</w:t>
      </w:r>
      <w:r w:rsidRPr="001906A8">
        <w:rPr>
          <w:rFonts w:ascii="Arial" w:eastAsia="MS Mincho" w:hAnsi="Arial" w:cs="Arial"/>
          <w:bCs/>
          <w:noProof/>
          <w:sz w:val="16"/>
          <w:szCs w:val="18"/>
          <w:lang w:val="de-DE" w:eastAsia="de-DE"/>
        </w:rPr>
        <w:t xml:space="preserve"> Vertriebs- und Servicestandorten, davon 17 Produktionswerke. In der „Global One Company“ treiben mehr als 13.</w:t>
      </w:r>
      <w:r w:rsidR="00F57280">
        <w:rPr>
          <w:rFonts w:ascii="Arial" w:eastAsia="MS Mincho" w:hAnsi="Arial" w:cs="Arial"/>
          <w:bCs/>
          <w:noProof/>
          <w:sz w:val="16"/>
          <w:szCs w:val="18"/>
          <w:lang w:val="de-DE" w:eastAsia="de-DE"/>
        </w:rPr>
        <w:t>5</w:t>
      </w:r>
      <w:r w:rsidRPr="001906A8">
        <w:rPr>
          <w:rFonts w:ascii="Arial" w:eastAsia="MS Mincho" w:hAnsi="Arial" w:cs="Arial"/>
          <w:bCs/>
          <w:noProof/>
          <w:sz w:val="16"/>
          <w:szCs w:val="18"/>
          <w:lang w:val="de-DE" w:eastAsia="de-DE"/>
        </w:rPr>
        <w:t>00 Mitarbeiterinnen und Mitarbeiter die Entwicklung ganzheitlicher Lösungen im Fertigungsumfeld voran. Unter dem Leitbild Machining Transformation (MX) kombiniert DMG MORI vier Säulen für die effiziente und nachhaltige Produktion der Zukunft: Prozessintegration, Automation, Digitale Transformation (DX) und Grüne Transformation (GX).</w:t>
      </w:r>
    </w:p>
    <w:p w14:paraId="1A984868"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5F1E8B41"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steht für Innovation, Qualität und Präzision. Unser Portfolio umfasst nachhaltige Fertigungs</w:t>
      </w:r>
      <w:r w:rsidRPr="001906A8">
        <w:rPr>
          <w:rFonts w:ascii="Arial" w:eastAsia="MS Mincho" w:hAnsi="Arial" w:cs="Arial"/>
          <w:bCs/>
          <w:noProof/>
          <w:sz w:val="16"/>
          <w:szCs w:val="18"/>
          <w:lang w:val="de-DE" w:eastAsia="de-DE"/>
        </w:rPr>
        <w:softHyphen/>
        <w:t>lösungen auf Basis der Technologien Drehen, Fräsen, Schleifen, Bohren sowie Ultrasonic, Lasertec und Additive Manufacturing. Mit Technologieintegration, durchgängigen Automations- und Digitalisierungs</w:t>
      </w:r>
      <w:r w:rsidRPr="001906A8">
        <w:rPr>
          <w:rFonts w:ascii="Arial" w:eastAsia="MS Mincho" w:hAnsi="Arial" w:cs="Arial"/>
          <w:bCs/>
          <w:noProof/>
          <w:sz w:val="16"/>
          <w:szCs w:val="18"/>
          <w:lang w:val="de-DE" w:eastAsia="de-DE"/>
        </w:rPr>
        <w:softHyphen/>
        <w:t>lösungen ermöglichen wir, die Produktivität und gleichzeitig die Ressourceneffizienz zu steigern.</w:t>
      </w:r>
    </w:p>
    <w:p w14:paraId="31D135C6"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4208BBC1" w14:textId="5B4CF104" w:rsidR="001906A8" w:rsidRPr="001906A8" w:rsidRDefault="00ED0252" w:rsidP="001906A8">
      <w:pPr>
        <w:spacing w:after="40" w:line="269" w:lineRule="auto"/>
        <w:ind w:right="1977"/>
        <w:jc w:val="both"/>
        <w:rPr>
          <w:rFonts w:ascii="Arial" w:eastAsia="MS Mincho" w:hAnsi="Arial" w:cs="Arial"/>
          <w:bCs/>
          <w:noProof/>
          <w:sz w:val="16"/>
          <w:szCs w:val="18"/>
          <w:lang w:val="de-DE" w:eastAsia="de-DE"/>
        </w:rPr>
      </w:pPr>
      <w:r w:rsidRPr="00ED0252">
        <w:rPr>
          <w:rFonts w:ascii="Arial" w:eastAsia="MS Mincho" w:hAnsi="Arial" w:cs="Arial"/>
          <w:bCs/>
          <w:noProof/>
          <w:sz w:val="16"/>
          <w:szCs w:val="18"/>
          <w:lang w:val="de-DE" w:eastAsia="de-DE"/>
        </w:rPr>
        <w:t xml:space="preserve">An unseren Produktionsstandorten realisieren wir für die Leitbranchen Aviation &amp; Space, Automotive &amp; E-Mobility, Die &amp; Mold, Medical und Semiconductor ganzheitliche Turnkey-Lösungen. </w:t>
      </w:r>
      <w:r w:rsidR="001906A8" w:rsidRPr="001906A8">
        <w:rPr>
          <w:rFonts w:ascii="Arial" w:eastAsia="MS Mincho" w:hAnsi="Arial" w:cs="Arial"/>
          <w:bCs/>
          <w:noProof/>
          <w:sz w:val="16"/>
          <w:szCs w:val="18"/>
          <w:lang w:val="de-DE" w:eastAsia="de-DE"/>
        </w:rPr>
        <w:t>Mit dem Partnerprogramm DMG MORI Qualified Products (DMQP) bieten wir perfekt abgestimmte Peripherie-Produkte aus einer Hand. Unsere kundenorientierten Services begleiten den gesamten Lebenszyklus einer Werkzeugmaschine – inklusive Training, Instandsetzung, Wartung und Ersatzteilservice.</w:t>
      </w:r>
    </w:p>
    <w:p w14:paraId="6417B83F"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7D04409E"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6AEC2605" w14:textId="49EE1E9C" w:rsidR="00AC23D7" w:rsidRPr="0004410D" w:rsidRDefault="00AC23D7" w:rsidP="00AC23D7">
      <w:pPr>
        <w:spacing w:after="40" w:line="269" w:lineRule="auto"/>
        <w:ind w:right="1977"/>
      </w:pPr>
      <w:r w:rsidRPr="00123E3B">
        <w:rPr>
          <w:rFonts w:ascii="Arial" w:hAnsi="Arial"/>
          <w:i/>
          <w:sz w:val="16"/>
          <w:szCs w:val="16"/>
        </w:rPr>
        <w:t xml:space="preserve">DMG MORI EMEA Holding GmbH </w:t>
      </w:r>
      <w:r w:rsidRPr="00241383">
        <w:rPr>
          <w:rFonts w:ascii="Arial" w:hAnsi="Arial"/>
          <w:i/>
          <w:iCs/>
          <w:sz w:val="16"/>
          <w:szCs w:val="16"/>
        </w:rPr>
        <w:t xml:space="preserve">| Walter-Gropius-Str. 7 | 80807 </w:t>
      </w:r>
      <w:r w:rsidR="00DB7DDE">
        <w:rPr>
          <w:rFonts w:ascii="Arial" w:hAnsi="Arial"/>
          <w:i/>
          <w:iCs/>
          <w:sz w:val="16"/>
          <w:szCs w:val="16"/>
        </w:rPr>
        <w:t>München</w:t>
      </w:r>
      <w:r w:rsidRPr="00241383">
        <w:rPr>
          <w:i/>
        </w:rPr>
        <w:br/>
      </w:r>
      <w:proofErr w:type="spellStart"/>
      <w:r w:rsidRPr="00123E3B">
        <w:rPr>
          <w:rFonts w:ascii="Arial" w:hAnsi="Arial"/>
          <w:i/>
          <w:sz w:val="16"/>
          <w:szCs w:val="16"/>
        </w:rPr>
        <w:t>Geschäftsführer</w:t>
      </w:r>
      <w:proofErr w:type="spellEnd"/>
      <w:r w:rsidRPr="00123E3B">
        <w:rPr>
          <w:rFonts w:ascii="Arial" w:hAnsi="Arial"/>
          <w:i/>
          <w:sz w:val="16"/>
          <w:szCs w:val="16"/>
        </w:rPr>
        <w:t xml:space="preserve">: </w:t>
      </w:r>
      <w:proofErr w:type="spellStart"/>
      <w:r w:rsidRPr="00123E3B">
        <w:rPr>
          <w:rFonts w:ascii="Arial" w:hAnsi="Arial"/>
          <w:i/>
          <w:sz w:val="16"/>
          <w:szCs w:val="16"/>
        </w:rPr>
        <w:t>Hirotake</w:t>
      </w:r>
      <w:proofErr w:type="spellEnd"/>
      <w:r w:rsidRPr="00123E3B">
        <w:rPr>
          <w:rFonts w:ascii="Arial" w:hAnsi="Arial"/>
          <w:i/>
          <w:sz w:val="16"/>
          <w:szCs w:val="16"/>
        </w:rPr>
        <w:t xml:space="preserve"> Kobayashi, James Nudo, Irene Bader, Rajeev Anand, Ralf Riedemann, Yosuke Nakatsukasa, Marc Joost</w:t>
      </w:r>
      <w:r>
        <w:rPr>
          <w:rFonts w:ascii="Arial" w:hAnsi="Arial"/>
          <w:i/>
          <w:sz w:val="16"/>
          <w:szCs w:val="16"/>
        </w:rPr>
        <w:br/>
      </w:r>
      <w:r w:rsidRPr="0004410D">
        <w:rPr>
          <w:rFonts w:ascii="Arial" w:hAnsi="Arial"/>
          <w:i/>
          <w:sz w:val="16"/>
          <w:szCs w:val="16"/>
        </w:rPr>
        <w:t>Telefonnummer: +49 89248835900</w:t>
      </w:r>
      <w:r>
        <w:rPr>
          <w:rFonts w:ascii="Arial" w:hAnsi="Arial"/>
          <w:i/>
          <w:sz w:val="16"/>
          <w:szCs w:val="16"/>
        </w:rPr>
        <w:br/>
      </w:r>
      <w:proofErr w:type="spellStart"/>
      <w:r w:rsidRPr="0004410D">
        <w:rPr>
          <w:rFonts w:ascii="Arial" w:hAnsi="Arial"/>
          <w:i/>
          <w:sz w:val="16"/>
          <w:szCs w:val="16"/>
        </w:rPr>
        <w:t>Datenschutz</w:t>
      </w:r>
      <w:proofErr w:type="spellEnd"/>
      <w:r w:rsidRPr="0004410D">
        <w:rPr>
          <w:rFonts w:ascii="Arial" w:hAnsi="Arial"/>
          <w:i/>
          <w:sz w:val="16"/>
          <w:szCs w:val="16"/>
        </w:rPr>
        <w:t>: DMG MORI EMEA Holding GmbH</w:t>
      </w:r>
    </w:p>
    <w:p w14:paraId="44BD1143" w14:textId="77777777" w:rsidR="001906A8" w:rsidRPr="002B2BF8" w:rsidRDefault="001906A8" w:rsidP="001906A8">
      <w:pPr>
        <w:tabs>
          <w:tab w:val="left" w:pos="2403"/>
        </w:tabs>
      </w:pPr>
    </w:p>
    <w:sectPr w:rsidR="001906A8" w:rsidRPr="002B2BF8" w:rsidSect="00C56313">
      <w:headerReference w:type="default" r:id="rId12"/>
      <w:footerReference w:type="default" r:id="rId13"/>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441FB8" w14:textId="77777777" w:rsidR="00342449" w:rsidRDefault="00342449" w:rsidP="003F4354">
      <w:pPr>
        <w:spacing w:after="0" w:line="240" w:lineRule="auto"/>
      </w:pPr>
      <w:r>
        <w:separator/>
      </w:r>
    </w:p>
  </w:endnote>
  <w:endnote w:type="continuationSeparator" w:id="0">
    <w:p w14:paraId="122721D0" w14:textId="77777777" w:rsidR="00342449" w:rsidRDefault="00342449"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charset w:val="4D"/>
    <w:family w:val="swiss"/>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608449"/>
      <w:docPartObj>
        <w:docPartGallery w:val="Page Numbers (Bottom of Page)"/>
        <w:docPartUnique/>
      </w:docPartObj>
    </w:sdtPr>
    <w:sdtContent>
      <w:p w14:paraId="497B668F" w14:textId="3D1AFE5E" w:rsidR="007B7614" w:rsidRDefault="007B7614">
        <w:pPr>
          <w:pStyle w:val="Fuzeile"/>
          <w:jc w:val="center"/>
        </w:pPr>
        <w:r>
          <w:rPr>
            <w:noProof/>
          </w:rPr>
          <mc:AlternateContent>
            <mc:Choice Requires="wps">
              <w:drawing>
                <wp:inline distT="0" distB="0" distL="0" distR="0" wp14:anchorId="5340CDEB" wp14:editId="4B71FF7B">
                  <wp:extent cx="5467350" cy="45085"/>
                  <wp:effectExtent l="9525" t="9525" r="0" b="2540"/>
                  <wp:docPr id="647014157"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6579FC5C"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E1A685F" w14:textId="409C093B" w:rsidR="007B7614" w:rsidRDefault="007B7614">
        <w:pPr>
          <w:pStyle w:val="Fuzeile"/>
          <w:jc w:val="center"/>
        </w:pPr>
        <w:r w:rsidRPr="00AC6BBC">
          <w:rPr>
            <w:rFonts w:ascii="Arial" w:hAnsi="Arial" w:cs="Arial"/>
          </w:rPr>
          <w:fldChar w:fldCharType="begin"/>
        </w:r>
        <w:r w:rsidRPr="00AC6BBC">
          <w:rPr>
            <w:rFonts w:ascii="Arial" w:hAnsi="Arial" w:cs="Arial"/>
          </w:rPr>
          <w:instrText>PAGE    \* MERGEFORMAT</w:instrText>
        </w:r>
        <w:r w:rsidRPr="00AC6BBC">
          <w:rPr>
            <w:rFonts w:ascii="Arial" w:hAnsi="Arial" w:cs="Arial"/>
          </w:rPr>
          <w:fldChar w:fldCharType="separate"/>
        </w:r>
        <w:r w:rsidRPr="00AC6BBC">
          <w:rPr>
            <w:rFonts w:ascii="Arial" w:hAnsi="Arial" w:cs="Arial"/>
            <w:lang w:val="de-DE"/>
          </w:rPr>
          <w:t>2</w:t>
        </w:r>
        <w:r w:rsidRPr="00AC6BBC">
          <w:rPr>
            <w:rFonts w:ascii="Arial" w:hAnsi="Arial" w:cs="Arial"/>
          </w:rPr>
          <w:fldChar w:fldCharType="end"/>
        </w:r>
      </w:p>
    </w:sdtContent>
  </w:sdt>
  <w:p w14:paraId="79F394A6" w14:textId="77777777" w:rsidR="007B7614" w:rsidRDefault="007B76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EB01AF" w14:textId="77777777" w:rsidR="00342449" w:rsidRDefault="00342449" w:rsidP="003F4354">
      <w:pPr>
        <w:spacing w:after="0" w:line="240" w:lineRule="auto"/>
      </w:pPr>
      <w:r>
        <w:separator/>
      </w:r>
    </w:p>
  </w:footnote>
  <w:footnote w:type="continuationSeparator" w:id="0">
    <w:p w14:paraId="586138AB" w14:textId="77777777" w:rsidR="00342449" w:rsidRDefault="00342449"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83651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1"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1078222A"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1078222A"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v:textbox>
              <w10:wrap anchorx="margin"/>
            </v:shape>
          </w:pict>
        </mc:Fallback>
      </mc:AlternateContent>
    </w:r>
    <w:r w:rsidRPr="0083651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2"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 xml:space="preserve">tine </w:t>
                          </w:r>
                          <w:proofErr w:type="spellStart"/>
                          <w:r>
                            <w:rPr>
                              <w:rFonts w:ascii="Arial" w:hAnsi="Arial" w:cs="Arial"/>
                              <w:color w:val="4C4C4C"/>
                              <w:position w:val="2"/>
                              <w:sz w:val="16"/>
                              <w:szCs w:val="16"/>
                              <w:lang w:val="en-US"/>
                            </w:rPr>
                            <w:t>Piegsa</w:t>
                          </w:r>
                          <w:proofErr w:type="spellEnd"/>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 xml:space="preserve">tine </w:t>
                    </w:r>
                    <w:proofErr w:type="spellStart"/>
                    <w:r>
                      <w:rPr>
                        <w:rFonts w:ascii="Arial" w:hAnsi="Arial" w:cs="Arial"/>
                        <w:color w:val="4C4C4C"/>
                        <w:position w:val="2"/>
                        <w:sz w:val="16"/>
                        <w:szCs w:val="16"/>
                        <w:lang w:val="en-US"/>
                      </w:rPr>
                      <w:t>Piegsa</w:t>
                    </w:r>
                    <w:proofErr w:type="spellEnd"/>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33AF5E3" id="Straight Connector 117715773"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4D50DA"/>
    <w:multiLevelType w:val="hybridMultilevel"/>
    <w:tmpl w:val="E7E85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C663AFF"/>
    <w:multiLevelType w:val="hybridMultilevel"/>
    <w:tmpl w:val="FC7E1BBE"/>
    <w:lvl w:ilvl="0" w:tplc="B798E1BC">
      <w:start w:val="1"/>
      <w:numFmt w:val="bullet"/>
      <w:lvlText w:val=""/>
      <w:lvlJc w:val="left"/>
      <w:pPr>
        <w:ind w:left="720" w:hanging="360"/>
      </w:pPr>
      <w:rPr>
        <w:rFonts w:ascii="Symbol" w:hAnsi="Symbol"/>
      </w:rPr>
    </w:lvl>
    <w:lvl w:ilvl="1" w:tplc="84A8858E">
      <w:start w:val="1"/>
      <w:numFmt w:val="bullet"/>
      <w:lvlText w:val=""/>
      <w:lvlJc w:val="left"/>
      <w:pPr>
        <w:ind w:left="720" w:hanging="360"/>
      </w:pPr>
      <w:rPr>
        <w:rFonts w:ascii="Symbol" w:hAnsi="Symbol"/>
      </w:rPr>
    </w:lvl>
    <w:lvl w:ilvl="2" w:tplc="2A403106">
      <w:start w:val="1"/>
      <w:numFmt w:val="bullet"/>
      <w:lvlText w:val=""/>
      <w:lvlJc w:val="left"/>
      <w:pPr>
        <w:ind w:left="720" w:hanging="360"/>
      </w:pPr>
      <w:rPr>
        <w:rFonts w:ascii="Symbol" w:hAnsi="Symbol"/>
      </w:rPr>
    </w:lvl>
    <w:lvl w:ilvl="3" w:tplc="14A661E2">
      <w:start w:val="1"/>
      <w:numFmt w:val="bullet"/>
      <w:lvlText w:val=""/>
      <w:lvlJc w:val="left"/>
      <w:pPr>
        <w:ind w:left="720" w:hanging="360"/>
      </w:pPr>
      <w:rPr>
        <w:rFonts w:ascii="Symbol" w:hAnsi="Symbol"/>
      </w:rPr>
    </w:lvl>
    <w:lvl w:ilvl="4" w:tplc="7CE60E3A">
      <w:start w:val="1"/>
      <w:numFmt w:val="bullet"/>
      <w:lvlText w:val=""/>
      <w:lvlJc w:val="left"/>
      <w:pPr>
        <w:ind w:left="720" w:hanging="360"/>
      </w:pPr>
      <w:rPr>
        <w:rFonts w:ascii="Symbol" w:hAnsi="Symbol"/>
      </w:rPr>
    </w:lvl>
    <w:lvl w:ilvl="5" w:tplc="045A5124">
      <w:start w:val="1"/>
      <w:numFmt w:val="bullet"/>
      <w:lvlText w:val=""/>
      <w:lvlJc w:val="left"/>
      <w:pPr>
        <w:ind w:left="720" w:hanging="360"/>
      </w:pPr>
      <w:rPr>
        <w:rFonts w:ascii="Symbol" w:hAnsi="Symbol"/>
      </w:rPr>
    </w:lvl>
    <w:lvl w:ilvl="6" w:tplc="5C3A7F7A">
      <w:start w:val="1"/>
      <w:numFmt w:val="bullet"/>
      <w:lvlText w:val=""/>
      <w:lvlJc w:val="left"/>
      <w:pPr>
        <w:ind w:left="720" w:hanging="360"/>
      </w:pPr>
      <w:rPr>
        <w:rFonts w:ascii="Symbol" w:hAnsi="Symbol"/>
      </w:rPr>
    </w:lvl>
    <w:lvl w:ilvl="7" w:tplc="E0966C74">
      <w:start w:val="1"/>
      <w:numFmt w:val="bullet"/>
      <w:lvlText w:val=""/>
      <w:lvlJc w:val="left"/>
      <w:pPr>
        <w:ind w:left="720" w:hanging="360"/>
      </w:pPr>
      <w:rPr>
        <w:rFonts w:ascii="Symbol" w:hAnsi="Symbol"/>
      </w:rPr>
    </w:lvl>
    <w:lvl w:ilvl="8" w:tplc="2A7E707A">
      <w:start w:val="1"/>
      <w:numFmt w:val="bullet"/>
      <w:lvlText w:val=""/>
      <w:lvlJc w:val="left"/>
      <w:pPr>
        <w:ind w:left="720" w:hanging="360"/>
      </w:pPr>
      <w:rPr>
        <w:rFonts w:ascii="Symbol" w:hAnsi="Symbol"/>
      </w:rPr>
    </w:lvl>
  </w:abstractNum>
  <w:num w:numId="1" w16cid:durableId="1733964447">
    <w:abstractNumId w:val="0"/>
  </w:num>
  <w:num w:numId="2" w16cid:durableId="549997903">
    <w:abstractNumId w:val="1"/>
  </w:num>
  <w:num w:numId="3" w16cid:durableId="110765555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378C"/>
    <w:rsid w:val="0000487A"/>
    <w:rsid w:val="00006CAF"/>
    <w:rsid w:val="00015897"/>
    <w:rsid w:val="00017EF9"/>
    <w:rsid w:val="000238F8"/>
    <w:rsid w:val="00027B7D"/>
    <w:rsid w:val="00037DD4"/>
    <w:rsid w:val="00037F72"/>
    <w:rsid w:val="0004559C"/>
    <w:rsid w:val="00052967"/>
    <w:rsid w:val="000608E2"/>
    <w:rsid w:val="00062567"/>
    <w:rsid w:val="00064451"/>
    <w:rsid w:val="00070AC0"/>
    <w:rsid w:val="0007588D"/>
    <w:rsid w:val="00076242"/>
    <w:rsid w:val="00077427"/>
    <w:rsid w:val="0009020F"/>
    <w:rsid w:val="00090F58"/>
    <w:rsid w:val="00096777"/>
    <w:rsid w:val="000B4632"/>
    <w:rsid w:val="000C2562"/>
    <w:rsid w:val="000C4B50"/>
    <w:rsid w:val="000C6115"/>
    <w:rsid w:val="000C663B"/>
    <w:rsid w:val="000D4C72"/>
    <w:rsid w:val="000D7372"/>
    <w:rsid w:val="000E39BD"/>
    <w:rsid w:val="000F1F3F"/>
    <w:rsid w:val="000F3F5B"/>
    <w:rsid w:val="00104B31"/>
    <w:rsid w:val="00105215"/>
    <w:rsid w:val="001063AF"/>
    <w:rsid w:val="001118C3"/>
    <w:rsid w:val="00116F19"/>
    <w:rsid w:val="00123890"/>
    <w:rsid w:val="00126272"/>
    <w:rsid w:val="00130925"/>
    <w:rsid w:val="00130951"/>
    <w:rsid w:val="00130DBB"/>
    <w:rsid w:val="001321E2"/>
    <w:rsid w:val="0013228C"/>
    <w:rsid w:val="00134EB7"/>
    <w:rsid w:val="00145B3C"/>
    <w:rsid w:val="0014791F"/>
    <w:rsid w:val="00154FF0"/>
    <w:rsid w:val="00157B99"/>
    <w:rsid w:val="001658FC"/>
    <w:rsid w:val="001675D9"/>
    <w:rsid w:val="0018294F"/>
    <w:rsid w:val="00184236"/>
    <w:rsid w:val="00184538"/>
    <w:rsid w:val="00187339"/>
    <w:rsid w:val="001900CC"/>
    <w:rsid w:val="001906A8"/>
    <w:rsid w:val="00192B89"/>
    <w:rsid w:val="00194CD4"/>
    <w:rsid w:val="001970AC"/>
    <w:rsid w:val="001A1CFB"/>
    <w:rsid w:val="001A473B"/>
    <w:rsid w:val="001B1659"/>
    <w:rsid w:val="001B18B1"/>
    <w:rsid w:val="001B29BD"/>
    <w:rsid w:val="001B4E17"/>
    <w:rsid w:val="001B58CB"/>
    <w:rsid w:val="001C1EFC"/>
    <w:rsid w:val="001C24D1"/>
    <w:rsid w:val="001C6C4C"/>
    <w:rsid w:val="001D496F"/>
    <w:rsid w:val="001D607A"/>
    <w:rsid w:val="001E5153"/>
    <w:rsid w:val="001E6939"/>
    <w:rsid w:val="001F0331"/>
    <w:rsid w:val="001F728B"/>
    <w:rsid w:val="001F7C03"/>
    <w:rsid w:val="002020A2"/>
    <w:rsid w:val="00205087"/>
    <w:rsid w:val="0022312D"/>
    <w:rsid w:val="00224FF5"/>
    <w:rsid w:val="00233649"/>
    <w:rsid w:val="00234722"/>
    <w:rsid w:val="002361B9"/>
    <w:rsid w:val="00236B8A"/>
    <w:rsid w:val="00237194"/>
    <w:rsid w:val="00256B3C"/>
    <w:rsid w:val="0027447A"/>
    <w:rsid w:val="00286B74"/>
    <w:rsid w:val="00287817"/>
    <w:rsid w:val="002A21A4"/>
    <w:rsid w:val="002A2C78"/>
    <w:rsid w:val="002A5412"/>
    <w:rsid w:val="002B2BF8"/>
    <w:rsid w:val="002B6B1C"/>
    <w:rsid w:val="002C2245"/>
    <w:rsid w:val="002C5E8B"/>
    <w:rsid w:val="002D021D"/>
    <w:rsid w:val="002D2B20"/>
    <w:rsid w:val="002D65B1"/>
    <w:rsid w:val="002E15B3"/>
    <w:rsid w:val="002E498A"/>
    <w:rsid w:val="002F28F8"/>
    <w:rsid w:val="002F29D6"/>
    <w:rsid w:val="002F7B27"/>
    <w:rsid w:val="0030564A"/>
    <w:rsid w:val="00305DD1"/>
    <w:rsid w:val="003130E0"/>
    <w:rsid w:val="00314BD4"/>
    <w:rsid w:val="003161C5"/>
    <w:rsid w:val="0031754B"/>
    <w:rsid w:val="00336375"/>
    <w:rsid w:val="00337C81"/>
    <w:rsid w:val="00341223"/>
    <w:rsid w:val="00342449"/>
    <w:rsid w:val="0036022D"/>
    <w:rsid w:val="00360D95"/>
    <w:rsid w:val="00361C8E"/>
    <w:rsid w:val="003638F1"/>
    <w:rsid w:val="00363EA0"/>
    <w:rsid w:val="0036588C"/>
    <w:rsid w:val="00366AD2"/>
    <w:rsid w:val="00376877"/>
    <w:rsid w:val="003802E4"/>
    <w:rsid w:val="00382E4B"/>
    <w:rsid w:val="00384517"/>
    <w:rsid w:val="00395EA6"/>
    <w:rsid w:val="003A1578"/>
    <w:rsid w:val="003A34AF"/>
    <w:rsid w:val="003A560E"/>
    <w:rsid w:val="003B2DBC"/>
    <w:rsid w:val="003C23A1"/>
    <w:rsid w:val="003C7418"/>
    <w:rsid w:val="003D2B92"/>
    <w:rsid w:val="003E063A"/>
    <w:rsid w:val="003E5140"/>
    <w:rsid w:val="003F061A"/>
    <w:rsid w:val="003F4354"/>
    <w:rsid w:val="003F4FCF"/>
    <w:rsid w:val="00406CFC"/>
    <w:rsid w:val="00417B6E"/>
    <w:rsid w:val="00420338"/>
    <w:rsid w:val="00421B21"/>
    <w:rsid w:val="00423F11"/>
    <w:rsid w:val="004257A3"/>
    <w:rsid w:val="004263D1"/>
    <w:rsid w:val="0043476A"/>
    <w:rsid w:val="0045052C"/>
    <w:rsid w:val="00452AA1"/>
    <w:rsid w:val="00460C22"/>
    <w:rsid w:val="00462E07"/>
    <w:rsid w:val="00462F48"/>
    <w:rsid w:val="00467CCF"/>
    <w:rsid w:val="00472140"/>
    <w:rsid w:val="00474E99"/>
    <w:rsid w:val="00475722"/>
    <w:rsid w:val="00476D17"/>
    <w:rsid w:val="0047725A"/>
    <w:rsid w:val="0048230D"/>
    <w:rsid w:val="004836A6"/>
    <w:rsid w:val="00483F4D"/>
    <w:rsid w:val="00486B7F"/>
    <w:rsid w:val="00497729"/>
    <w:rsid w:val="004A4F9E"/>
    <w:rsid w:val="004A716A"/>
    <w:rsid w:val="004A7C30"/>
    <w:rsid w:val="004B34A4"/>
    <w:rsid w:val="004B54C1"/>
    <w:rsid w:val="004C06E8"/>
    <w:rsid w:val="004D575D"/>
    <w:rsid w:val="004E26A3"/>
    <w:rsid w:val="004E354E"/>
    <w:rsid w:val="004F05A5"/>
    <w:rsid w:val="004F4CDE"/>
    <w:rsid w:val="004F5BF2"/>
    <w:rsid w:val="00515E24"/>
    <w:rsid w:val="00520F63"/>
    <w:rsid w:val="005415D3"/>
    <w:rsid w:val="00547EC9"/>
    <w:rsid w:val="005517F7"/>
    <w:rsid w:val="0055268F"/>
    <w:rsid w:val="005557A1"/>
    <w:rsid w:val="00555C0B"/>
    <w:rsid w:val="0056079F"/>
    <w:rsid w:val="00560FA3"/>
    <w:rsid w:val="00565153"/>
    <w:rsid w:val="005717A9"/>
    <w:rsid w:val="00571C8A"/>
    <w:rsid w:val="00582C26"/>
    <w:rsid w:val="00582D60"/>
    <w:rsid w:val="00584408"/>
    <w:rsid w:val="005958B8"/>
    <w:rsid w:val="005A1F4E"/>
    <w:rsid w:val="005A2D0A"/>
    <w:rsid w:val="005A572D"/>
    <w:rsid w:val="005B0513"/>
    <w:rsid w:val="005C195B"/>
    <w:rsid w:val="005D0FC9"/>
    <w:rsid w:val="005D21D0"/>
    <w:rsid w:val="005E3136"/>
    <w:rsid w:val="005E4215"/>
    <w:rsid w:val="005E5E99"/>
    <w:rsid w:val="005F17E1"/>
    <w:rsid w:val="005F4461"/>
    <w:rsid w:val="00600CE3"/>
    <w:rsid w:val="0060732E"/>
    <w:rsid w:val="00611A27"/>
    <w:rsid w:val="00614064"/>
    <w:rsid w:val="006161A6"/>
    <w:rsid w:val="00617CCA"/>
    <w:rsid w:val="006229A8"/>
    <w:rsid w:val="00623D62"/>
    <w:rsid w:val="00630EC1"/>
    <w:rsid w:val="00641E02"/>
    <w:rsid w:val="00656269"/>
    <w:rsid w:val="00676D80"/>
    <w:rsid w:val="00676F02"/>
    <w:rsid w:val="00682468"/>
    <w:rsid w:val="006828B6"/>
    <w:rsid w:val="00687ED7"/>
    <w:rsid w:val="00690B80"/>
    <w:rsid w:val="00694214"/>
    <w:rsid w:val="00696CDF"/>
    <w:rsid w:val="006A1B59"/>
    <w:rsid w:val="006A28CB"/>
    <w:rsid w:val="006A5B90"/>
    <w:rsid w:val="006B0BB7"/>
    <w:rsid w:val="006B1079"/>
    <w:rsid w:val="006B1EC2"/>
    <w:rsid w:val="006B73B2"/>
    <w:rsid w:val="006F2E0E"/>
    <w:rsid w:val="006F49FF"/>
    <w:rsid w:val="007121CF"/>
    <w:rsid w:val="00714610"/>
    <w:rsid w:val="00714926"/>
    <w:rsid w:val="0071694B"/>
    <w:rsid w:val="007220DB"/>
    <w:rsid w:val="00722A86"/>
    <w:rsid w:val="00726480"/>
    <w:rsid w:val="00730B7B"/>
    <w:rsid w:val="00733271"/>
    <w:rsid w:val="007363E6"/>
    <w:rsid w:val="00736F18"/>
    <w:rsid w:val="00740D2B"/>
    <w:rsid w:val="00742FA4"/>
    <w:rsid w:val="00746480"/>
    <w:rsid w:val="007509F8"/>
    <w:rsid w:val="00751679"/>
    <w:rsid w:val="00757EDA"/>
    <w:rsid w:val="00760F42"/>
    <w:rsid w:val="00773500"/>
    <w:rsid w:val="00774C66"/>
    <w:rsid w:val="00786C75"/>
    <w:rsid w:val="00793063"/>
    <w:rsid w:val="00796A9D"/>
    <w:rsid w:val="00797432"/>
    <w:rsid w:val="007A2E8F"/>
    <w:rsid w:val="007B004F"/>
    <w:rsid w:val="007B7614"/>
    <w:rsid w:val="007C1E16"/>
    <w:rsid w:val="007C6E1D"/>
    <w:rsid w:val="007C7565"/>
    <w:rsid w:val="007D4FC6"/>
    <w:rsid w:val="007D5D4E"/>
    <w:rsid w:val="007E1A15"/>
    <w:rsid w:val="007E5232"/>
    <w:rsid w:val="007F2386"/>
    <w:rsid w:val="007F5BF3"/>
    <w:rsid w:val="007F74D4"/>
    <w:rsid w:val="00804A9B"/>
    <w:rsid w:val="00806599"/>
    <w:rsid w:val="00816C08"/>
    <w:rsid w:val="00823852"/>
    <w:rsid w:val="00826D7F"/>
    <w:rsid w:val="00832F5F"/>
    <w:rsid w:val="00836514"/>
    <w:rsid w:val="008367D7"/>
    <w:rsid w:val="00840A9C"/>
    <w:rsid w:val="00844F2D"/>
    <w:rsid w:val="008476DC"/>
    <w:rsid w:val="00851CA7"/>
    <w:rsid w:val="00865668"/>
    <w:rsid w:val="0086724E"/>
    <w:rsid w:val="00871108"/>
    <w:rsid w:val="008751A0"/>
    <w:rsid w:val="008801F1"/>
    <w:rsid w:val="00884B65"/>
    <w:rsid w:val="00892B73"/>
    <w:rsid w:val="008A0EE9"/>
    <w:rsid w:val="008A79A8"/>
    <w:rsid w:val="008C5D26"/>
    <w:rsid w:val="008C650D"/>
    <w:rsid w:val="008D47A6"/>
    <w:rsid w:val="008E42C3"/>
    <w:rsid w:val="008F134E"/>
    <w:rsid w:val="008F33FA"/>
    <w:rsid w:val="009074ED"/>
    <w:rsid w:val="009130EA"/>
    <w:rsid w:val="00921555"/>
    <w:rsid w:val="00923443"/>
    <w:rsid w:val="00925B7D"/>
    <w:rsid w:val="009261AC"/>
    <w:rsid w:val="00933EB6"/>
    <w:rsid w:val="0093544D"/>
    <w:rsid w:val="009440C4"/>
    <w:rsid w:val="00945CEB"/>
    <w:rsid w:val="0095443E"/>
    <w:rsid w:val="00960669"/>
    <w:rsid w:val="0097578D"/>
    <w:rsid w:val="009769DF"/>
    <w:rsid w:val="00981364"/>
    <w:rsid w:val="00981651"/>
    <w:rsid w:val="009828FA"/>
    <w:rsid w:val="00982BC2"/>
    <w:rsid w:val="00986563"/>
    <w:rsid w:val="00997D4E"/>
    <w:rsid w:val="009A1C98"/>
    <w:rsid w:val="009B2104"/>
    <w:rsid w:val="009C0E32"/>
    <w:rsid w:val="009E6F3A"/>
    <w:rsid w:val="009F3AAD"/>
    <w:rsid w:val="009F3C12"/>
    <w:rsid w:val="00A061EE"/>
    <w:rsid w:val="00A12134"/>
    <w:rsid w:val="00A262BA"/>
    <w:rsid w:val="00A26617"/>
    <w:rsid w:val="00A310CD"/>
    <w:rsid w:val="00A32E7E"/>
    <w:rsid w:val="00A52806"/>
    <w:rsid w:val="00A52BC7"/>
    <w:rsid w:val="00A53315"/>
    <w:rsid w:val="00A60CF0"/>
    <w:rsid w:val="00A656E0"/>
    <w:rsid w:val="00A663B4"/>
    <w:rsid w:val="00A678F6"/>
    <w:rsid w:val="00A73A84"/>
    <w:rsid w:val="00A7542F"/>
    <w:rsid w:val="00A81256"/>
    <w:rsid w:val="00A81299"/>
    <w:rsid w:val="00A94459"/>
    <w:rsid w:val="00AA5CC5"/>
    <w:rsid w:val="00AA7E63"/>
    <w:rsid w:val="00AC23D7"/>
    <w:rsid w:val="00AC57BA"/>
    <w:rsid w:val="00AC6BBC"/>
    <w:rsid w:val="00AD5201"/>
    <w:rsid w:val="00AE09F5"/>
    <w:rsid w:val="00B0143B"/>
    <w:rsid w:val="00B05352"/>
    <w:rsid w:val="00B137F4"/>
    <w:rsid w:val="00B13E1F"/>
    <w:rsid w:val="00B22931"/>
    <w:rsid w:val="00B302B4"/>
    <w:rsid w:val="00B35547"/>
    <w:rsid w:val="00B42528"/>
    <w:rsid w:val="00B513DB"/>
    <w:rsid w:val="00B5403A"/>
    <w:rsid w:val="00B5482D"/>
    <w:rsid w:val="00B553AF"/>
    <w:rsid w:val="00B61EE8"/>
    <w:rsid w:val="00B85211"/>
    <w:rsid w:val="00B85CE2"/>
    <w:rsid w:val="00B90A7B"/>
    <w:rsid w:val="00BA334E"/>
    <w:rsid w:val="00BA4810"/>
    <w:rsid w:val="00BA600F"/>
    <w:rsid w:val="00BB530C"/>
    <w:rsid w:val="00BC0FA1"/>
    <w:rsid w:val="00BD1732"/>
    <w:rsid w:val="00BD2F37"/>
    <w:rsid w:val="00BD3B01"/>
    <w:rsid w:val="00BE4469"/>
    <w:rsid w:val="00BE4855"/>
    <w:rsid w:val="00BF0D9C"/>
    <w:rsid w:val="00BF14DF"/>
    <w:rsid w:val="00BF412D"/>
    <w:rsid w:val="00BF6E5B"/>
    <w:rsid w:val="00C04787"/>
    <w:rsid w:val="00C123AD"/>
    <w:rsid w:val="00C159F0"/>
    <w:rsid w:val="00C16C83"/>
    <w:rsid w:val="00C272F0"/>
    <w:rsid w:val="00C275B5"/>
    <w:rsid w:val="00C3200F"/>
    <w:rsid w:val="00C37B79"/>
    <w:rsid w:val="00C47C47"/>
    <w:rsid w:val="00C544E1"/>
    <w:rsid w:val="00C56313"/>
    <w:rsid w:val="00C65FCE"/>
    <w:rsid w:val="00C66A5C"/>
    <w:rsid w:val="00C66DFD"/>
    <w:rsid w:val="00C73520"/>
    <w:rsid w:val="00C875D6"/>
    <w:rsid w:val="00CA3E75"/>
    <w:rsid w:val="00CB3296"/>
    <w:rsid w:val="00CB3ED8"/>
    <w:rsid w:val="00CB6A32"/>
    <w:rsid w:val="00CB71EF"/>
    <w:rsid w:val="00CC7908"/>
    <w:rsid w:val="00CD38C4"/>
    <w:rsid w:val="00CD3FD8"/>
    <w:rsid w:val="00CD49B9"/>
    <w:rsid w:val="00CE0337"/>
    <w:rsid w:val="00CE0B0B"/>
    <w:rsid w:val="00CE146D"/>
    <w:rsid w:val="00CE1C4B"/>
    <w:rsid w:val="00CF38E9"/>
    <w:rsid w:val="00CF7C86"/>
    <w:rsid w:val="00D13E41"/>
    <w:rsid w:val="00D15170"/>
    <w:rsid w:val="00D156D2"/>
    <w:rsid w:val="00D250D2"/>
    <w:rsid w:val="00D306A8"/>
    <w:rsid w:val="00D30A66"/>
    <w:rsid w:val="00D3653C"/>
    <w:rsid w:val="00D37EF7"/>
    <w:rsid w:val="00D42242"/>
    <w:rsid w:val="00D42DFD"/>
    <w:rsid w:val="00D57DA7"/>
    <w:rsid w:val="00D60CB1"/>
    <w:rsid w:val="00D61F65"/>
    <w:rsid w:val="00D62AB6"/>
    <w:rsid w:val="00D630BE"/>
    <w:rsid w:val="00D67734"/>
    <w:rsid w:val="00D73E9C"/>
    <w:rsid w:val="00D80947"/>
    <w:rsid w:val="00D94630"/>
    <w:rsid w:val="00D95883"/>
    <w:rsid w:val="00DB7DDE"/>
    <w:rsid w:val="00DC4B72"/>
    <w:rsid w:val="00DD34AB"/>
    <w:rsid w:val="00DE7D1E"/>
    <w:rsid w:val="00DF0E7E"/>
    <w:rsid w:val="00DF13E3"/>
    <w:rsid w:val="00DF3D83"/>
    <w:rsid w:val="00E00C2D"/>
    <w:rsid w:val="00E17079"/>
    <w:rsid w:val="00E21050"/>
    <w:rsid w:val="00E24FA1"/>
    <w:rsid w:val="00E369D6"/>
    <w:rsid w:val="00E4196B"/>
    <w:rsid w:val="00E44077"/>
    <w:rsid w:val="00E47C34"/>
    <w:rsid w:val="00E5258B"/>
    <w:rsid w:val="00E75870"/>
    <w:rsid w:val="00E769ED"/>
    <w:rsid w:val="00E80F8C"/>
    <w:rsid w:val="00E853BD"/>
    <w:rsid w:val="00E95CC3"/>
    <w:rsid w:val="00EA4FF0"/>
    <w:rsid w:val="00EA5521"/>
    <w:rsid w:val="00EC7361"/>
    <w:rsid w:val="00ED0252"/>
    <w:rsid w:val="00ED2420"/>
    <w:rsid w:val="00ED2CB4"/>
    <w:rsid w:val="00ED61FD"/>
    <w:rsid w:val="00EE5702"/>
    <w:rsid w:val="00EF0ADE"/>
    <w:rsid w:val="00F00931"/>
    <w:rsid w:val="00F0729F"/>
    <w:rsid w:val="00F23170"/>
    <w:rsid w:val="00F26F95"/>
    <w:rsid w:val="00F32835"/>
    <w:rsid w:val="00F36D17"/>
    <w:rsid w:val="00F40285"/>
    <w:rsid w:val="00F453B6"/>
    <w:rsid w:val="00F45ABD"/>
    <w:rsid w:val="00F53772"/>
    <w:rsid w:val="00F563A7"/>
    <w:rsid w:val="00F568ED"/>
    <w:rsid w:val="00F57280"/>
    <w:rsid w:val="00F577BC"/>
    <w:rsid w:val="00F62830"/>
    <w:rsid w:val="00F6298C"/>
    <w:rsid w:val="00F649DF"/>
    <w:rsid w:val="00F6619C"/>
    <w:rsid w:val="00F8349C"/>
    <w:rsid w:val="00F976AF"/>
    <w:rsid w:val="00F97F3B"/>
    <w:rsid w:val="00FA62CC"/>
    <w:rsid w:val="00FA6933"/>
    <w:rsid w:val="00FB7EB9"/>
    <w:rsid w:val="00FC05E1"/>
    <w:rsid w:val="00FC0BF4"/>
    <w:rsid w:val="00FC5C48"/>
    <w:rsid w:val="00FD4F3C"/>
    <w:rsid w:val="00FD6281"/>
    <w:rsid w:val="00FE1AF4"/>
    <w:rsid w:val="00FE1FF1"/>
    <w:rsid w:val="020B17FD"/>
    <w:rsid w:val="0342E205"/>
    <w:rsid w:val="0401FF20"/>
    <w:rsid w:val="04324682"/>
    <w:rsid w:val="087E23D2"/>
    <w:rsid w:val="0A237E79"/>
    <w:rsid w:val="0AC738DA"/>
    <w:rsid w:val="0DA25DA7"/>
    <w:rsid w:val="1576D5E5"/>
    <w:rsid w:val="1B2C5F59"/>
    <w:rsid w:val="2541ADE3"/>
    <w:rsid w:val="2BDA6CB2"/>
    <w:rsid w:val="2EED6725"/>
    <w:rsid w:val="35669FC0"/>
    <w:rsid w:val="3869E2D6"/>
    <w:rsid w:val="39461EC9"/>
    <w:rsid w:val="3F58B9EB"/>
    <w:rsid w:val="407C62EF"/>
    <w:rsid w:val="41F74C4D"/>
    <w:rsid w:val="43FD760B"/>
    <w:rsid w:val="48A1277A"/>
    <w:rsid w:val="4D553D2A"/>
    <w:rsid w:val="4E615A53"/>
    <w:rsid w:val="5F729CEA"/>
    <w:rsid w:val="62A7542D"/>
    <w:rsid w:val="674B5FA9"/>
    <w:rsid w:val="6DCC7DC3"/>
    <w:rsid w:val="6E887ED0"/>
    <w:rsid w:val="778B5938"/>
    <w:rsid w:val="7983DAA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01B194AE-25B2-4801-B92E-0D73F6FD11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105215"/>
    <w:pPr>
      <w:spacing w:after="0" w:line="240" w:lineRule="auto"/>
    </w:pPr>
  </w:style>
  <w:style w:type="character" w:styleId="Kommentarzeichen">
    <w:name w:val="annotation reference"/>
    <w:basedOn w:val="Absatz-Standardschriftart"/>
    <w:uiPriority w:val="99"/>
    <w:semiHidden/>
    <w:unhideWhenUsed/>
    <w:rsid w:val="009261AC"/>
    <w:rPr>
      <w:sz w:val="16"/>
      <w:szCs w:val="16"/>
    </w:rPr>
  </w:style>
  <w:style w:type="paragraph" w:styleId="Kommentartext">
    <w:name w:val="annotation text"/>
    <w:basedOn w:val="Standard"/>
    <w:link w:val="KommentartextZchn"/>
    <w:uiPriority w:val="99"/>
    <w:unhideWhenUsed/>
    <w:rsid w:val="009261AC"/>
    <w:pPr>
      <w:spacing w:line="240" w:lineRule="auto"/>
    </w:pPr>
    <w:rPr>
      <w:sz w:val="20"/>
      <w:szCs w:val="20"/>
    </w:rPr>
  </w:style>
  <w:style w:type="character" w:customStyle="1" w:styleId="KommentartextZchn">
    <w:name w:val="Kommentartext Zchn"/>
    <w:basedOn w:val="Absatz-Standardschriftart"/>
    <w:link w:val="Kommentartext"/>
    <w:uiPriority w:val="99"/>
    <w:rsid w:val="009261AC"/>
    <w:rPr>
      <w:sz w:val="20"/>
      <w:szCs w:val="20"/>
    </w:rPr>
  </w:style>
  <w:style w:type="paragraph" w:styleId="Kommentarthema">
    <w:name w:val="annotation subject"/>
    <w:basedOn w:val="Kommentartext"/>
    <w:next w:val="Kommentartext"/>
    <w:link w:val="KommentarthemaZchn"/>
    <w:uiPriority w:val="99"/>
    <w:semiHidden/>
    <w:unhideWhenUsed/>
    <w:rsid w:val="009261AC"/>
    <w:rPr>
      <w:b/>
      <w:bCs/>
    </w:rPr>
  </w:style>
  <w:style w:type="character" w:customStyle="1" w:styleId="KommentarthemaZchn">
    <w:name w:val="Kommentarthema Zchn"/>
    <w:basedOn w:val="KommentartextZchn"/>
    <w:link w:val="Kommentarthema"/>
    <w:uiPriority w:val="99"/>
    <w:semiHidden/>
    <w:rsid w:val="009261AC"/>
    <w:rPr>
      <w:b/>
      <w:bCs/>
      <w:sz w:val="20"/>
      <w:szCs w:val="20"/>
    </w:rPr>
  </w:style>
  <w:style w:type="character" w:styleId="Erwhnung">
    <w:name w:val="Mention"/>
    <w:basedOn w:val="Absatz-Standardschriftart"/>
    <w:uiPriority w:val="99"/>
    <w:unhideWhenUsed/>
    <w:rsid w:val="00BD2F37"/>
    <w:rPr>
      <w:color w:val="2B579A"/>
      <w:shd w:val="clear" w:color="auto" w:fill="E1DFDD"/>
    </w:rPr>
  </w:style>
  <w:style w:type="paragraph" w:styleId="StandardWeb">
    <w:name w:val="Normal (Web)"/>
    <w:basedOn w:val="Standard"/>
    <w:uiPriority w:val="99"/>
    <w:semiHidden/>
    <w:unhideWhenUsed/>
    <w:rsid w:val="00E853BD"/>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gif"/></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4.jpg"/><Relationship Id="rId1" Type="http://schemas.openxmlformats.org/officeDocument/2006/relationships/image" Target="media/image3.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Props1.xml><?xml version="1.0" encoding="utf-8"?>
<ds:datastoreItem xmlns:ds="http://schemas.openxmlformats.org/officeDocument/2006/customXml" ds:itemID="{895A408B-BA36-4B7D-99CE-BD5B757638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3.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723</Words>
  <Characters>4803</Characters>
  <Application>Microsoft Office Word</Application>
  <DocSecurity>0</DocSecurity>
  <Lines>86</Lines>
  <Paragraphs>16</Paragraphs>
  <ScaleCrop>false</ScaleCrop>
  <Company/>
  <LinksUpToDate>false</LinksUpToDate>
  <CharactersWithSpaces>5523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4</cp:revision>
  <cp:lastPrinted>2026-01-07T14:34:00Z</cp:lastPrinted>
  <dcterms:created xsi:type="dcterms:W3CDTF">2026-01-20T13:55:00Z</dcterms:created>
  <dcterms:modified xsi:type="dcterms:W3CDTF">2026-01-22T10:50:00Z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de</vt:lpwstr>
  </property>
</Properties>
</file>